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8B" w:rsidRPr="00946D60" w:rsidRDefault="00861E8B" w:rsidP="00861E8B">
      <w:pPr>
        <w:pStyle w:val="Default"/>
        <w:jc w:val="center"/>
        <w:rPr>
          <w:b/>
          <w:color w:val="auto"/>
          <w:sz w:val="36"/>
          <w:szCs w:val="36"/>
        </w:rPr>
      </w:pPr>
      <w:r w:rsidRPr="00946D60">
        <w:rPr>
          <w:rFonts w:hint="eastAsia"/>
          <w:b/>
          <w:color w:val="auto"/>
          <w:sz w:val="36"/>
          <w:szCs w:val="36"/>
        </w:rPr>
        <w:t>巴黎原則與監察</w:t>
      </w:r>
      <w:r w:rsidR="00A8052F">
        <w:rPr>
          <w:rFonts w:hint="eastAsia"/>
          <w:b/>
          <w:color w:val="auto"/>
          <w:sz w:val="36"/>
          <w:szCs w:val="36"/>
        </w:rPr>
        <w:t>院</w:t>
      </w:r>
      <w:r w:rsidRPr="00946D60">
        <w:rPr>
          <w:rFonts w:hint="eastAsia"/>
          <w:b/>
          <w:color w:val="auto"/>
          <w:sz w:val="36"/>
          <w:szCs w:val="36"/>
        </w:rPr>
        <w:t>職權</w:t>
      </w:r>
    </w:p>
    <w:p w:rsidR="00E51119" w:rsidRPr="00E51119" w:rsidRDefault="00861E8B" w:rsidP="007B4FCB">
      <w:pPr>
        <w:pStyle w:val="Default"/>
        <w:spacing w:line="500" w:lineRule="exact"/>
        <w:ind w:firstLineChars="200" w:firstLine="640"/>
        <w:jc w:val="both"/>
        <w:rPr>
          <w:rFonts w:ascii="Times New Roman" w:hAnsi="Times New Roman" w:cs="Times New Roman"/>
          <w:color w:val="auto"/>
          <w:sz w:val="32"/>
          <w:szCs w:val="32"/>
        </w:rPr>
      </w:pPr>
      <w:r w:rsidRPr="00E51119">
        <w:rPr>
          <w:rFonts w:ascii="Times New Roman" w:hAnsi="Times New Roman" w:cs="Times New Roman"/>
          <w:color w:val="auto"/>
          <w:sz w:val="32"/>
          <w:szCs w:val="32"/>
        </w:rPr>
        <w:t>所謂</w:t>
      </w:r>
      <w:r w:rsidRPr="00E51119">
        <w:rPr>
          <w:rFonts w:ascii="Times New Roman" w:hAnsi="標楷體" w:cs="Times New Roman"/>
          <w:color w:val="auto"/>
          <w:sz w:val="32"/>
          <w:szCs w:val="32"/>
        </w:rPr>
        <w:t>「巴黎原則</w:t>
      </w:r>
      <w:r w:rsidR="00BC290A" w:rsidRPr="00BC290A">
        <w:rPr>
          <w:rFonts w:ascii="Times New Roman" w:hAnsi="標楷體" w:cs="Times New Roman"/>
          <w:color w:val="auto"/>
          <w:sz w:val="32"/>
          <w:szCs w:val="32"/>
        </w:rPr>
        <w:t>（</w:t>
      </w:r>
      <w:r w:rsidR="00BC290A" w:rsidRPr="00BC290A">
        <w:rPr>
          <w:rFonts w:ascii="Times New Roman" w:hAnsi="標楷體" w:cs="Times New Roman"/>
          <w:color w:val="auto"/>
          <w:sz w:val="32"/>
          <w:szCs w:val="32"/>
        </w:rPr>
        <w:t>The Paris Principles</w:t>
      </w:r>
      <w:r w:rsidR="00BC290A" w:rsidRPr="00BC290A">
        <w:rPr>
          <w:rFonts w:ascii="Times New Roman" w:hAnsi="標楷體" w:cs="Times New Roman"/>
          <w:color w:val="auto"/>
          <w:sz w:val="32"/>
          <w:szCs w:val="32"/>
        </w:rPr>
        <w:t>）</w:t>
      </w:r>
      <w:r w:rsidRPr="00E51119">
        <w:rPr>
          <w:rFonts w:ascii="Times New Roman" w:hAnsi="標楷體" w:cs="Times New Roman"/>
          <w:color w:val="auto"/>
          <w:sz w:val="32"/>
          <w:szCs w:val="32"/>
        </w:rPr>
        <w:t>」，係「關於促進和保護人權的國家機構</w:t>
      </w:r>
      <w:r w:rsidR="004313FF" w:rsidRPr="00E51119">
        <w:rPr>
          <w:rFonts w:ascii="Times New Roman" w:hAnsi="標楷體" w:cs="Times New Roman"/>
          <w:color w:val="auto"/>
          <w:sz w:val="32"/>
          <w:szCs w:val="32"/>
        </w:rPr>
        <w:t>的</w:t>
      </w:r>
      <w:r w:rsidRPr="00E51119">
        <w:rPr>
          <w:rFonts w:ascii="Times New Roman" w:hAnsi="標楷體" w:cs="Times New Roman"/>
          <w:color w:val="auto"/>
          <w:sz w:val="32"/>
          <w:szCs w:val="32"/>
        </w:rPr>
        <w:t>地位的原則」之簡稱</w:t>
      </w:r>
      <w:r w:rsidR="00DA08AF" w:rsidRPr="00E51119">
        <w:rPr>
          <w:rFonts w:ascii="Times New Roman" w:hAnsi="標楷體" w:cs="Times New Roman"/>
          <w:color w:val="auto"/>
          <w:sz w:val="32"/>
          <w:szCs w:val="32"/>
        </w:rPr>
        <w:t>。此原則乃</w:t>
      </w:r>
      <w:r w:rsidRPr="00E51119">
        <w:rPr>
          <w:rFonts w:ascii="Times New Roman" w:hAnsi="標楷體" w:cs="Times New Roman"/>
          <w:color w:val="auto"/>
          <w:sz w:val="32"/>
          <w:szCs w:val="32"/>
        </w:rPr>
        <w:t>聯合國人權委員會於</w:t>
      </w:r>
      <w:r w:rsidRPr="00E51119">
        <w:rPr>
          <w:rFonts w:ascii="Times New Roman" w:hAnsi="Times New Roman" w:cs="Times New Roman"/>
          <w:color w:val="auto"/>
          <w:sz w:val="32"/>
          <w:szCs w:val="32"/>
        </w:rPr>
        <w:t>1991</w:t>
      </w:r>
      <w:r w:rsidRPr="00E51119">
        <w:rPr>
          <w:rFonts w:ascii="Times New Roman" w:hAnsi="標楷體" w:cs="Times New Roman"/>
          <w:color w:val="auto"/>
          <w:sz w:val="32"/>
          <w:szCs w:val="32"/>
        </w:rPr>
        <w:t>年</w:t>
      </w:r>
      <w:r w:rsidRPr="00E51119">
        <w:rPr>
          <w:rFonts w:ascii="Times New Roman" w:hAnsi="Times New Roman" w:cs="Times New Roman"/>
          <w:color w:val="auto"/>
          <w:sz w:val="32"/>
          <w:szCs w:val="32"/>
        </w:rPr>
        <w:t>10</w:t>
      </w:r>
      <w:r w:rsidRPr="00E51119">
        <w:rPr>
          <w:rFonts w:ascii="Times New Roman" w:hAnsi="標楷體" w:cs="Times New Roman"/>
          <w:color w:val="auto"/>
          <w:sz w:val="32"/>
          <w:szCs w:val="32"/>
        </w:rPr>
        <w:t>月</w:t>
      </w:r>
      <w:r w:rsidRPr="00E51119">
        <w:rPr>
          <w:rFonts w:ascii="Times New Roman" w:hAnsi="Times New Roman" w:cs="Times New Roman"/>
          <w:color w:val="auto"/>
          <w:sz w:val="32"/>
          <w:szCs w:val="32"/>
        </w:rPr>
        <w:t>7</w:t>
      </w:r>
      <w:r w:rsidRPr="00E51119">
        <w:rPr>
          <w:rFonts w:ascii="Times New Roman" w:hAnsi="標楷體" w:cs="Times New Roman"/>
          <w:color w:val="auto"/>
          <w:sz w:val="32"/>
          <w:szCs w:val="32"/>
        </w:rPr>
        <w:t>日至</w:t>
      </w:r>
      <w:r w:rsidRPr="00E51119">
        <w:rPr>
          <w:rFonts w:ascii="Times New Roman" w:hAnsi="Times New Roman" w:cs="Times New Roman"/>
          <w:color w:val="auto"/>
          <w:sz w:val="32"/>
          <w:szCs w:val="32"/>
        </w:rPr>
        <w:t>9</w:t>
      </w:r>
      <w:r w:rsidRPr="00E51119">
        <w:rPr>
          <w:rFonts w:ascii="Times New Roman" w:hAnsi="標楷體" w:cs="Times New Roman"/>
          <w:color w:val="auto"/>
          <w:sz w:val="32"/>
          <w:szCs w:val="32"/>
        </w:rPr>
        <w:t>日在巴黎舉行的關於促進和保護人權的國家機構的第一次國際研討會所作出的結論。</w:t>
      </w:r>
      <w:proofErr w:type="gramStart"/>
      <w:r w:rsidR="00DA08AF" w:rsidRPr="00E51119">
        <w:rPr>
          <w:rFonts w:ascii="Times New Roman" w:hAnsi="標楷體" w:cs="Times New Roman"/>
          <w:color w:val="auto"/>
          <w:sz w:val="32"/>
          <w:szCs w:val="32"/>
        </w:rPr>
        <w:t>嗣</w:t>
      </w:r>
      <w:proofErr w:type="gramEnd"/>
      <w:r w:rsidRPr="00E51119">
        <w:rPr>
          <w:rFonts w:ascii="Times New Roman" w:hAnsi="標楷體" w:cs="Times New Roman"/>
          <w:color w:val="auto"/>
          <w:sz w:val="32"/>
          <w:szCs w:val="32"/>
        </w:rPr>
        <w:t>經</w:t>
      </w:r>
      <w:r w:rsidRPr="00E51119">
        <w:rPr>
          <w:rFonts w:ascii="Times New Roman" w:hAnsi="Times New Roman" w:cs="Times New Roman"/>
          <w:color w:val="auto"/>
          <w:sz w:val="32"/>
          <w:szCs w:val="32"/>
        </w:rPr>
        <w:t>1992</w:t>
      </w:r>
      <w:r w:rsidRPr="00E51119">
        <w:rPr>
          <w:rFonts w:ascii="Times New Roman" w:hAnsi="標楷體" w:cs="Times New Roman"/>
          <w:color w:val="auto"/>
          <w:sz w:val="32"/>
          <w:szCs w:val="32"/>
        </w:rPr>
        <w:t>年</w:t>
      </w:r>
      <w:r w:rsidRPr="00E51119">
        <w:rPr>
          <w:rFonts w:ascii="Times New Roman" w:hAnsi="Times New Roman" w:cs="Times New Roman"/>
          <w:color w:val="auto"/>
          <w:sz w:val="32"/>
          <w:szCs w:val="32"/>
        </w:rPr>
        <w:t>3</w:t>
      </w:r>
      <w:r w:rsidRPr="00E51119">
        <w:rPr>
          <w:rFonts w:ascii="Times New Roman" w:hAnsi="標楷體" w:cs="Times New Roman"/>
          <w:color w:val="auto"/>
          <w:sz w:val="32"/>
          <w:szCs w:val="32"/>
        </w:rPr>
        <w:t>月</w:t>
      </w:r>
      <w:r w:rsidRPr="00E51119">
        <w:rPr>
          <w:rFonts w:ascii="Times New Roman" w:hAnsi="Times New Roman" w:cs="Times New Roman"/>
          <w:color w:val="auto"/>
          <w:sz w:val="32"/>
          <w:szCs w:val="32"/>
        </w:rPr>
        <w:t>3</w:t>
      </w:r>
      <w:r w:rsidRPr="00E51119">
        <w:rPr>
          <w:rFonts w:ascii="Times New Roman" w:hAnsi="標楷體" w:cs="Times New Roman"/>
          <w:color w:val="auto"/>
          <w:sz w:val="32"/>
          <w:szCs w:val="32"/>
        </w:rPr>
        <w:t>日聯合國人權委員會第</w:t>
      </w:r>
      <w:r w:rsidRPr="00E51119">
        <w:rPr>
          <w:rFonts w:ascii="Times New Roman" w:hAnsi="Times New Roman" w:cs="Times New Roman"/>
          <w:color w:val="auto"/>
          <w:sz w:val="32"/>
          <w:szCs w:val="32"/>
        </w:rPr>
        <w:t>1992/54</w:t>
      </w:r>
      <w:r w:rsidR="00DA08AF" w:rsidRPr="00E51119">
        <w:rPr>
          <w:rFonts w:ascii="Times New Roman" w:hAnsi="標楷體" w:cs="Times New Roman"/>
          <w:color w:val="auto"/>
          <w:sz w:val="32"/>
          <w:szCs w:val="32"/>
        </w:rPr>
        <w:t>號，及</w:t>
      </w:r>
      <w:r w:rsidRPr="00E51119">
        <w:rPr>
          <w:rFonts w:ascii="Times New Roman" w:hAnsi="Times New Roman" w:cs="Times New Roman"/>
          <w:color w:val="auto"/>
          <w:sz w:val="32"/>
          <w:szCs w:val="32"/>
        </w:rPr>
        <w:t>1993</w:t>
      </w:r>
      <w:r w:rsidRPr="00E51119">
        <w:rPr>
          <w:rFonts w:ascii="Times New Roman" w:hAnsi="標楷體" w:cs="Times New Roman"/>
          <w:color w:val="auto"/>
          <w:sz w:val="32"/>
          <w:szCs w:val="32"/>
        </w:rPr>
        <w:t>年</w:t>
      </w:r>
      <w:r w:rsidRPr="00E51119">
        <w:rPr>
          <w:rFonts w:ascii="Times New Roman" w:hAnsi="Times New Roman" w:cs="Times New Roman"/>
          <w:color w:val="auto"/>
          <w:sz w:val="32"/>
          <w:szCs w:val="32"/>
        </w:rPr>
        <w:t>12</w:t>
      </w:r>
      <w:r w:rsidRPr="00E51119">
        <w:rPr>
          <w:rFonts w:ascii="Times New Roman" w:hAnsi="標楷體" w:cs="Times New Roman"/>
          <w:color w:val="auto"/>
          <w:sz w:val="32"/>
          <w:szCs w:val="32"/>
        </w:rPr>
        <w:t>月</w:t>
      </w:r>
      <w:r w:rsidRPr="00E51119">
        <w:rPr>
          <w:rFonts w:ascii="Times New Roman" w:hAnsi="Times New Roman" w:cs="Times New Roman"/>
          <w:color w:val="auto"/>
          <w:sz w:val="32"/>
          <w:szCs w:val="32"/>
        </w:rPr>
        <w:t>20</w:t>
      </w:r>
      <w:r w:rsidRPr="00E51119">
        <w:rPr>
          <w:rFonts w:ascii="Times New Roman" w:hAnsi="標楷體" w:cs="Times New Roman"/>
          <w:color w:val="auto"/>
          <w:sz w:val="32"/>
          <w:szCs w:val="32"/>
        </w:rPr>
        <w:t>日聯合國大會第</w:t>
      </w:r>
      <w:r w:rsidRPr="00E51119">
        <w:rPr>
          <w:rFonts w:ascii="Times New Roman" w:hAnsi="Times New Roman" w:cs="Times New Roman"/>
          <w:color w:val="auto"/>
          <w:sz w:val="32"/>
          <w:szCs w:val="32"/>
        </w:rPr>
        <w:t>48/134</w:t>
      </w:r>
      <w:r w:rsidRPr="00E51119">
        <w:rPr>
          <w:rFonts w:ascii="Times New Roman" w:hAnsi="標楷體" w:cs="Times New Roman"/>
          <w:color w:val="auto"/>
          <w:sz w:val="32"/>
          <w:szCs w:val="32"/>
        </w:rPr>
        <w:t>號決議核可，</w:t>
      </w:r>
      <w:r w:rsidR="00DA08AF" w:rsidRPr="00E51119">
        <w:rPr>
          <w:rFonts w:ascii="Times New Roman" w:hAnsi="標楷體" w:cs="Times New Roman"/>
          <w:color w:val="auto"/>
          <w:sz w:val="32"/>
          <w:szCs w:val="32"/>
        </w:rPr>
        <w:t>其</w:t>
      </w:r>
      <w:r w:rsidR="0070547C" w:rsidRPr="00E51119">
        <w:rPr>
          <w:rFonts w:ascii="Times New Roman" w:hAnsi="標楷體" w:cs="Times New Roman"/>
          <w:color w:val="auto"/>
          <w:sz w:val="32"/>
          <w:szCs w:val="32"/>
        </w:rPr>
        <w:t>目的在鼓勵各國設立獨立超然的國家人權機構</w:t>
      </w:r>
      <w:r w:rsidRPr="00E51119">
        <w:rPr>
          <w:rFonts w:ascii="Times New Roman" w:hAnsi="標楷體" w:cs="Times New Roman"/>
          <w:color w:val="auto"/>
          <w:sz w:val="32"/>
          <w:szCs w:val="32"/>
        </w:rPr>
        <w:t>，</w:t>
      </w:r>
      <w:r w:rsidR="00DA08AF" w:rsidRPr="00E51119">
        <w:rPr>
          <w:rFonts w:ascii="Times New Roman" w:hAnsi="標楷體" w:cs="Times New Roman"/>
          <w:color w:val="auto"/>
          <w:sz w:val="32"/>
          <w:szCs w:val="32"/>
        </w:rPr>
        <w:t>以</w:t>
      </w:r>
      <w:r w:rsidRPr="00E51119">
        <w:rPr>
          <w:rFonts w:ascii="Times New Roman" w:hAnsi="標楷體" w:cs="Times New Roman"/>
          <w:color w:val="auto"/>
          <w:sz w:val="32"/>
          <w:szCs w:val="32"/>
        </w:rPr>
        <w:t>確保在地法令與國際人權規範接軌、協調</w:t>
      </w:r>
      <w:r w:rsidR="0070547C" w:rsidRPr="00E51119">
        <w:rPr>
          <w:rFonts w:ascii="Times New Roman" w:hAnsi="標楷體" w:cs="Times New Roman"/>
          <w:color w:val="auto"/>
          <w:sz w:val="32"/>
          <w:szCs w:val="32"/>
        </w:rPr>
        <w:t>人權</w:t>
      </w:r>
      <w:r w:rsidRPr="00E51119">
        <w:rPr>
          <w:rFonts w:ascii="Times New Roman" w:hAnsi="標楷體" w:cs="Times New Roman"/>
          <w:color w:val="auto"/>
          <w:sz w:val="32"/>
          <w:szCs w:val="32"/>
        </w:rPr>
        <w:t>規範落實、公</w:t>
      </w:r>
      <w:r w:rsidR="00DA08AF" w:rsidRPr="00E51119">
        <w:rPr>
          <w:rFonts w:ascii="Times New Roman" w:hAnsi="標楷體" w:cs="Times New Roman"/>
          <w:color w:val="auto"/>
          <w:sz w:val="32"/>
          <w:szCs w:val="32"/>
        </w:rPr>
        <w:t>布人權報告、推廣人權教育，</w:t>
      </w:r>
      <w:proofErr w:type="gramStart"/>
      <w:r w:rsidR="00DA08AF" w:rsidRPr="00E51119">
        <w:rPr>
          <w:rFonts w:ascii="Times New Roman" w:hAnsi="標楷體" w:cs="Times New Roman"/>
          <w:color w:val="auto"/>
          <w:sz w:val="32"/>
          <w:szCs w:val="32"/>
        </w:rPr>
        <w:t>俾</w:t>
      </w:r>
      <w:proofErr w:type="gramEnd"/>
      <w:r w:rsidR="00DA08AF" w:rsidRPr="00E51119">
        <w:rPr>
          <w:rFonts w:ascii="Times New Roman" w:hAnsi="標楷體" w:cs="Times New Roman"/>
          <w:color w:val="auto"/>
          <w:sz w:val="32"/>
          <w:szCs w:val="32"/>
        </w:rPr>
        <w:t>於</w:t>
      </w:r>
      <w:r w:rsidRPr="00E51119">
        <w:rPr>
          <w:rFonts w:ascii="Times New Roman" w:hAnsi="標楷體" w:cs="Times New Roman"/>
          <w:color w:val="auto"/>
          <w:sz w:val="32"/>
          <w:szCs w:val="32"/>
        </w:rPr>
        <w:t>國內落實國際人權保護的目標。</w:t>
      </w:r>
    </w:p>
    <w:p w:rsidR="00E51119" w:rsidRPr="00E51119" w:rsidRDefault="00E51119" w:rsidP="00E51119">
      <w:pPr>
        <w:pStyle w:val="Default"/>
        <w:spacing w:line="500" w:lineRule="exact"/>
        <w:jc w:val="both"/>
        <w:rPr>
          <w:rFonts w:hAnsi="標楷體"/>
          <w:color w:val="auto"/>
          <w:sz w:val="32"/>
          <w:szCs w:val="32"/>
        </w:rPr>
      </w:pPr>
    </w:p>
    <w:p w:rsidR="00E51119" w:rsidRPr="00E51119" w:rsidRDefault="00E51119" w:rsidP="00946D60">
      <w:pPr>
        <w:pStyle w:val="Default"/>
        <w:spacing w:line="500" w:lineRule="exact"/>
        <w:ind w:firstLineChars="200" w:firstLine="640"/>
        <w:jc w:val="both"/>
        <w:rPr>
          <w:rFonts w:ascii="Times New Roman" w:hAnsi="Times New Roman" w:cs="Times New Roman"/>
          <w:sz w:val="32"/>
          <w:szCs w:val="32"/>
        </w:rPr>
      </w:pPr>
      <w:r w:rsidRPr="00E51119">
        <w:rPr>
          <w:rFonts w:ascii="Times New Roman" w:hAnsi="標楷體" w:cs="Times New Roman"/>
          <w:sz w:val="32"/>
          <w:szCs w:val="32"/>
        </w:rPr>
        <w:t>儘管根據國際法，「巴黎原則」並沒有拘束力，但仍不減其重要性，因為它規定了國家人權機構的職權範圍、組成原則、獨立性與多元性的保障和運作方法，另外並有附加原則說明具有準司法管轄權的國家人權委員會的地位；不僅指出了成立國家人權機構的大方向，也建立了一套標準。</w:t>
      </w:r>
      <w:r w:rsidR="00946D60">
        <w:rPr>
          <w:rFonts w:ascii="Times New Roman" w:hAnsi="標楷體" w:cs="Times New Roman" w:hint="eastAsia"/>
          <w:sz w:val="32"/>
          <w:szCs w:val="32"/>
        </w:rPr>
        <w:t>「</w:t>
      </w:r>
      <w:r w:rsidRPr="00E51119">
        <w:rPr>
          <w:rFonts w:ascii="Times New Roman" w:hAnsi="標楷體" w:cs="Times New Roman"/>
          <w:sz w:val="32"/>
          <w:szCs w:val="32"/>
        </w:rPr>
        <w:t>國家人權機構國際協調委員會（</w:t>
      </w:r>
      <w:r w:rsidRPr="00E51119">
        <w:rPr>
          <w:rFonts w:ascii="Times New Roman" w:hAnsi="Times New Roman" w:cs="Times New Roman"/>
          <w:sz w:val="32"/>
          <w:szCs w:val="32"/>
        </w:rPr>
        <w:t>International Coordinating Committee</w:t>
      </w:r>
      <w:r w:rsidR="00946D60">
        <w:rPr>
          <w:rFonts w:ascii="Times New Roman" w:hAnsi="Times New Roman" w:cs="Times New Roman"/>
          <w:sz w:val="32"/>
          <w:szCs w:val="32"/>
        </w:rPr>
        <w:t xml:space="preserve"> </w:t>
      </w:r>
      <w:r w:rsidR="00946D60" w:rsidRPr="00946D60">
        <w:rPr>
          <w:rFonts w:ascii="Times New Roman" w:hAnsi="Times New Roman" w:cs="Times New Roman"/>
          <w:sz w:val="32"/>
          <w:szCs w:val="32"/>
        </w:rPr>
        <w:t>of National Human Rights Institutions</w:t>
      </w:r>
      <w:r w:rsidR="00946D60">
        <w:rPr>
          <w:rFonts w:ascii="Times New Roman" w:hAnsi="Times New Roman" w:cs="Times New Roman" w:hint="eastAsia"/>
          <w:sz w:val="32"/>
          <w:szCs w:val="32"/>
        </w:rPr>
        <w:t>, ICC</w:t>
      </w:r>
      <w:r w:rsidRPr="00E51119">
        <w:rPr>
          <w:rFonts w:ascii="Times New Roman" w:hAnsi="標楷體" w:cs="Times New Roman"/>
          <w:sz w:val="32"/>
          <w:szCs w:val="32"/>
        </w:rPr>
        <w:t>）</w:t>
      </w:r>
      <w:r w:rsidR="00946D60">
        <w:rPr>
          <w:rFonts w:ascii="Times New Roman" w:hAnsi="標楷體" w:cs="Times New Roman" w:hint="eastAsia"/>
          <w:sz w:val="32"/>
          <w:szCs w:val="32"/>
        </w:rPr>
        <w:t>」【現已改名為「國家人權機構全球聯盟（</w:t>
      </w:r>
      <w:r w:rsidR="00946D60" w:rsidRPr="00946D60">
        <w:rPr>
          <w:rFonts w:ascii="Times New Roman" w:hAnsi="Times New Roman" w:cs="Times New Roman"/>
          <w:sz w:val="32"/>
          <w:szCs w:val="32"/>
        </w:rPr>
        <w:t>Global Alliance of National Human Rights Institutions</w:t>
      </w:r>
      <w:r w:rsidR="00946D60">
        <w:rPr>
          <w:rFonts w:ascii="Times New Roman" w:hAnsi="Times New Roman" w:cs="Times New Roman"/>
          <w:sz w:val="32"/>
          <w:szCs w:val="32"/>
        </w:rPr>
        <w:t xml:space="preserve">, </w:t>
      </w:r>
      <w:r w:rsidR="00946D60">
        <w:rPr>
          <w:rFonts w:ascii="Times New Roman" w:hAnsi="標楷體" w:cs="Times New Roman" w:hint="eastAsia"/>
          <w:sz w:val="32"/>
          <w:szCs w:val="32"/>
        </w:rPr>
        <w:t>GA</w:t>
      </w:r>
      <w:r w:rsidR="00946D60">
        <w:rPr>
          <w:rFonts w:ascii="Times New Roman" w:hAnsi="標楷體" w:cs="Times New Roman"/>
          <w:sz w:val="32"/>
          <w:szCs w:val="32"/>
        </w:rPr>
        <w:t>N</w:t>
      </w:r>
      <w:r w:rsidR="00946D60">
        <w:rPr>
          <w:rFonts w:ascii="Times New Roman" w:hAnsi="標楷體" w:cs="Times New Roman" w:hint="eastAsia"/>
          <w:sz w:val="32"/>
          <w:szCs w:val="32"/>
        </w:rPr>
        <w:t>HRI</w:t>
      </w:r>
      <w:r w:rsidR="00946D60">
        <w:rPr>
          <w:rFonts w:ascii="Times New Roman" w:hAnsi="標楷體" w:cs="Times New Roman" w:hint="eastAsia"/>
          <w:sz w:val="32"/>
          <w:szCs w:val="32"/>
        </w:rPr>
        <w:t>）」】</w:t>
      </w:r>
      <w:r w:rsidRPr="00E51119">
        <w:rPr>
          <w:rFonts w:ascii="Times New Roman" w:hAnsi="標楷體" w:cs="Times New Roman"/>
          <w:sz w:val="32"/>
          <w:szCs w:val="32"/>
        </w:rPr>
        <w:t>也在</w:t>
      </w:r>
      <w:r w:rsidRPr="00E51119">
        <w:rPr>
          <w:rFonts w:ascii="Times New Roman" w:hAnsi="Times New Roman" w:cs="Times New Roman"/>
          <w:sz w:val="32"/>
          <w:szCs w:val="32"/>
        </w:rPr>
        <w:t>1993</w:t>
      </w:r>
      <w:r w:rsidRPr="00E51119">
        <w:rPr>
          <w:rFonts w:ascii="Times New Roman" w:hAnsi="標楷體" w:cs="Times New Roman"/>
          <w:sz w:val="32"/>
          <w:szCs w:val="32"/>
        </w:rPr>
        <w:t>年成立，並且從</w:t>
      </w:r>
      <w:r w:rsidRPr="00E51119">
        <w:rPr>
          <w:rFonts w:ascii="Times New Roman" w:hAnsi="Times New Roman" w:cs="Times New Roman"/>
          <w:sz w:val="32"/>
          <w:szCs w:val="32"/>
        </w:rPr>
        <w:t>2000</w:t>
      </w:r>
      <w:r w:rsidRPr="00E51119">
        <w:rPr>
          <w:rFonts w:ascii="Times New Roman" w:hAnsi="標楷體" w:cs="Times New Roman"/>
          <w:sz w:val="32"/>
          <w:szCs w:val="32"/>
        </w:rPr>
        <w:t>年開始對各國的國家人權機構進行認證。</w:t>
      </w:r>
    </w:p>
    <w:p w:rsidR="00E51119" w:rsidRDefault="00E51119" w:rsidP="00E51119">
      <w:pPr>
        <w:pStyle w:val="Default"/>
        <w:spacing w:line="500" w:lineRule="exact"/>
        <w:jc w:val="both"/>
        <w:rPr>
          <w:rFonts w:ascii="Times New Roman" w:hAnsi="標楷體" w:cs="Times New Roman"/>
          <w:sz w:val="32"/>
          <w:szCs w:val="32"/>
        </w:rPr>
      </w:pPr>
    </w:p>
    <w:p w:rsidR="00BC290A" w:rsidRPr="00BC290A" w:rsidRDefault="00BC290A" w:rsidP="00BC290A">
      <w:pPr>
        <w:pStyle w:val="Default"/>
        <w:spacing w:line="500" w:lineRule="exact"/>
        <w:ind w:firstLineChars="200" w:firstLine="640"/>
        <w:jc w:val="both"/>
        <w:rPr>
          <w:rFonts w:ascii="Times New Roman" w:hAnsi="標楷體" w:cs="Times New Roman"/>
          <w:sz w:val="32"/>
          <w:szCs w:val="32"/>
        </w:rPr>
      </w:pPr>
      <w:r w:rsidRPr="00BC290A">
        <w:rPr>
          <w:rFonts w:ascii="Times New Roman" w:hAnsi="標楷體" w:cs="Times New Roman" w:hint="eastAsia"/>
          <w:sz w:val="32"/>
          <w:szCs w:val="32"/>
        </w:rPr>
        <w:t>「巴黎原則」揭示國家人權機構</w:t>
      </w:r>
      <w:r>
        <w:rPr>
          <w:rFonts w:ascii="Times New Roman" w:hAnsi="標楷體" w:cs="Times New Roman" w:hint="eastAsia"/>
          <w:sz w:val="32"/>
          <w:szCs w:val="32"/>
        </w:rPr>
        <w:t>如下</w:t>
      </w:r>
      <w:r w:rsidRPr="00BC290A">
        <w:rPr>
          <w:rFonts w:ascii="Times New Roman" w:hAnsi="標楷體" w:cs="Times New Roman" w:hint="eastAsia"/>
          <w:sz w:val="32"/>
          <w:szCs w:val="32"/>
        </w:rPr>
        <w:t>5</w:t>
      </w:r>
      <w:r w:rsidRPr="00BC290A">
        <w:rPr>
          <w:rFonts w:ascii="Times New Roman" w:hAnsi="標楷體" w:cs="Times New Roman" w:hint="eastAsia"/>
          <w:sz w:val="32"/>
          <w:szCs w:val="32"/>
        </w:rPr>
        <w:t>項責任：</w:t>
      </w:r>
    </w:p>
    <w:p w:rsidR="00BC290A" w:rsidRPr="00BC290A" w:rsidRDefault="00BC290A" w:rsidP="00BC290A">
      <w:pPr>
        <w:pStyle w:val="Default"/>
        <w:spacing w:line="500" w:lineRule="exact"/>
        <w:ind w:left="282" w:hangingChars="88" w:hanging="282"/>
        <w:jc w:val="both"/>
        <w:rPr>
          <w:rFonts w:ascii="Times New Roman" w:hAnsi="標楷體" w:cs="Times New Roman"/>
          <w:sz w:val="32"/>
          <w:szCs w:val="32"/>
        </w:rPr>
      </w:pPr>
      <w:r w:rsidRPr="00BC290A">
        <w:rPr>
          <w:rFonts w:ascii="Times New Roman" w:hAnsi="標楷體" w:cs="Times New Roman" w:hint="eastAsia"/>
          <w:sz w:val="32"/>
          <w:szCs w:val="32"/>
        </w:rPr>
        <w:t>1.</w:t>
      </w:r>
      <w:r w:rsidRPr="00BC290A">
        <w:rPr>
          <w:rFonts w:ascii="Times New Roman" w:hAnsi="標楷體" w:cs="Times New Roman" w:hint="eastAsia"/>
          <w:sz w:val="32"/>
          <w:szCs w:val="32"/>
        </w:rPr>
        <w:t>受理、調查及解決違反人權之陳情案</w:t>
      </w:r>
      <w:r>
        <w:rPr>
          <w:rFonts w:ascii="新細明體" w:eastAsia="新細明體" w:hAnsi="新細明體" w:cs="Times New Roman" w:hint="eastAsia"/>
          <w:sz w:val="32"/>
          <w:szCs w:val="32"/>
        </w:rPr>
        <w:t>；</w:t>
      </w:r>
    </w:p>
    <w:p w:rsidR="00BC290A" w:rsidRPr="00BC290A" w:rsidRDefault="00BC290A" w:rsidP="00BC290A">
      <w:pPr>
        <w:pStyle w:val="Default"/>
        <w:spacing w:line="500" w:lineRule="exact"/>
        <w:ind w:left="282" w:hangingChars="88" w:hanging="282"/>
        <w:jc w:val="both"/>
        <w:rPr>
          <w:rFonts w:ascii="Times New Roman" w:hAnsi="標楷體" w:cs="Times New Roman"/>
          <w:sz w:val="32"/>
          <w:szCs w:val="32"/>
        </w:rPr>
      </w:pPr>
      <w:r w:rsidRPr="00BC290A">
        <w:rPr>
          <w:rFonts w:ascii="Times New Roman" w:hAnsi="標楷體" w:cs="Times New Roman" w:hint="eastAsia"/>
          <w:sz w:val="32"/>
          <w:szCs w:val="32"/>
        </w:rPr>
        <w:t>2.</w:t>
      </w:r>
      <w:r w:rsidRPr="00BC290A">
        <w:rPr>
          <w:rFonts w:ascii="Times New Roman" w:hAnsi="標楷體" w:cs="Times New Roman" w:hint="eastAsia"/>
          <w:sz w:val="32"/>
          <w:szCs w:val="32"/>
        </w:rPr>
        <w:t>追蹤</w:t>
      </w:r>
      <w:r w:rsidRPr="00BC290A">
        <w:rPr>
          <w:rFonts w:ascii="Times New Roman" w:hAnsi="標楷體" w:cs="Times New Roman" w:hint="eastAsia"/>
          <w:sz w:val="32"/>
          <w:szCs w:val="32"/>
        </w:rPr>
        <w:t>/</w:t>
      </w:r>
      <w:r w:rsidRPr="00BC290A">
        <w:rPr>
          <w:rFonts w:ascii="Times New Roman" w:hAnsi="標楷體" w:cs="Times New Roman" w:hint="eastAsia"/>
          <w:sz w:val="32"/>
          <w:szCs w:val="32"/>
        </w:rPr>
        <w:t>監督人權侵害案件</w:t>
      </w:r>
      <w:r>
        <w:rPr>
          <w:rFonts w:ascii="新細明體" w:eastAsia="新細明體" w:hAnsi="新細明體" w:cs="Times New Roman" w:hint="eastAsia"/>
          <w:sz w:val="32"/>
          <w:szCs w:val="32"/>
        </w:rPr>
        <w:t>；</w:t>
      </w:r>
    </w:p>
    <w:p w:rsidR="00BC290A" w:rsidRPr="00BC290A" w:rsidRDefault="00BC290A" w:rsidP="00BC290A">
      <w:pPr>
        <w:pStyle w:val="Default"/>
        <w:spacing w:line="500" w:lineRule="exact"/>
        <w:ind w:left="282" w:hangingChars="88" w:hanging="282"/>
        <w:jc w:val="both"/>
        <w:rPr>
          <w:rFonts w:ascii="Times New Roman" w:hAnsi="標楷體" w:cs="Times New Roman"/>
          <w:sz w:val="32"/>
          <w:szCs w:val="32"/>
        </w:rPr>
      </w:pPr>
      <w:r w:rsidRPr="00BC290A">
        <w:rPr>
          <w:rFonts w:ascii="Times New Roman" w:hAnsi="標楷體" w:cs="Times New Roman" w:hint="eastAsia"/>
          <w:sz w:val="32"/>
          <w:szCs w:val="32"/>
        </w:rPr>
        <w:t>3.</w:t>
      </w:r>
      <w:r w:rsidRPr="00BC290A">
        <w:rPr>
          <w:rFonts w:ascii="Times New Roman" w:hAnsi="標楷體" w:cs="Times New Roman" w:hint="eastAsia"/>
          <w:sz w:val="32"/>
          <w:szCs w:val="32"/>
        </w:rPr>
        <w:t>向政府、國會及主管機關就有關人權保護及促進事項提出意見、建議及方案</w:t>
      </w:r>
      <w:r>
        <w:rPr>
          <w:rFonts w:ascii="新細明體" w:eastAsia="新細明體" w:hAnsi="新細明體" w:cs="Times New Roman" w:hint="eastAsia"/>
          <w:sz w:val="32"/>
          <w:szCs w:val="32"/>
        </w:rPr>
        <w:t>；</w:t>
      </w:r>
    </w:p>
    <w:p w:rsidR="00BC290A" w:rsidRPr="00BC290A" w:rsidRDefault="00BC290A" w:rsidP="00BC290A">
      <w:pPr>
        <w:pStyle w:val="Default"/>
        <w:spacing w:line="500" w:lineRule="exact"/>
        <w:ind w:left="282" w:hangingChars="88" w:hanging="282"/>
        <w:jc w:val="both"/>
        <w:rPr>
          <w:rFonts w:ascii="Times New Roman" w:hAnsi="標楷體" w:cs="Times New Roman"/>
          <w:sz w:val="32"/>
          <w:szCs w:val="32"/>
        </w:rPr>
      </w:pPr>
      <w:r w:rsidRPr="00BC290A">
        <w:rPr>
          <w:rFonts w:ascii="Times New Roman" w:hAnsi="標楷體" w:cs="Times New Roman" w:hint="eastAsia"/>
          <w:sz w:val="32"/>
          <w:szCs w:val="32"/>
        </w:rPr>
        <w:lastRenderedPageBreak/>
        <w:t>4.</w:t>
      </w:r>
      <w:r w:rsidRPr="00BC290A">
        <w:rPr>
          <w:rFonts w:ascii="Times New Roman" w:hAnsi="標楷體" w:cs="Times New Roman" w:hint="eastAsia"/>
          <w:sz w:val="32"/>
          <w:szCs w:val="32"/>
        </w:rPr>
        <w:t>協助制定人權教育及研究計畫</w:t>
      </w:r>
      <w:r>
        <w:rPr>
          <w:rFonts w:ascii="新細明體" w:eastAsia="新細明體" w:hAnsi="新細明體" w:cs="Times New Roman" w:hint="eastAsia"/>
          <w:sz w:val="32"/>
          <w:szCs w:val="32"/>
        </w:rPr>
        <w:t>；</w:t>
      </w:r>
    </w:p>
    <w:p w:rsidR="00BC290A" w:rsidRDefault="00BC290A" w:rsidP="00BC290A">
      <w:pPr>
        <w:pStyle w:val="Default"/>
        <w:spacing w:line="500" w:lineRule="exact"/>
        <w:ind w:left="282" w:hangingChars="88" w:hanging="282"/>
        <w:jc w:val="both"/>
        <w:rPr>
          <w:rFonts w:ascii="Times New Roman" w:hAnsi="標楷體" w:cs="Times New Roman"/>
          <w:sz w:val="32"/>
          <w:szCs w:val="32"/>
        </w:rPr>
      </w:pPr>
      <w:r w:rsidRPr="00BC290A">
        <w:rPr>
          <w:rFonts w:ascii="Times New Roman" w:hAnsi="標楷體" w:cs="Times New Roman" w:hint="eastAsia"/>
          <w:sz w:val="32"/>
          <w:szCs w:val="32"/>
        </w:rPr>
        <w:t>5.</w:t>
      </w:r>
      <w:r w:rsidRPr="00BC290A">
        <w:rPr>
          <w:rFonts w:ascii="Times New Roman" w:hAnsi="標楷體" w:cs="Times New Roman" w:hint="eastAsia"/>
          <w:sz w:val="32"/>
          <w:szCs w:val="32"/>
        </w:rPr>
        <w:t>與區域性或國際性人權組織交流合作</w:t>
      </w:r>
      <w:r>
        <w:rPr>
          <w:rFonts w:ascii="新細明體" w:eastAsia="新細明體" w:hAnsi="新細明體" w:cs="Times New Roman" w:hint="eastAsia"/>
          <w:sz w:val="32"/>
          <w:szCs w:val="32"/>
        </w:rPr>
        <w:t>。</w:t>
      </w:r>
    </w:p>
    <w:p w:rsidR="00BC290A" w:rsidRDefault="00BC290A" w:rsidP="00E51119">
      <w:pPr>
        <w:pStyle w:val="Default"/>
        <w:spacing w:line="500" w:lineRule="exact"/>
        <w:jc w:val="both"/>
        <w:rPr>
          <w:rFonts w:ascii="Times New Roman" w:hAnsi="標楷體" w:cs="Times New Roman"/>
          <w:sz w:val="32"/>
          <w:szCs w:val="32"/>
        </w:rPr>
      </w:pPr>
    </w:p>
    <w:p w:rsidR="009B49DD" w:rsidRPr="009B49DD" w:rsidRDefault="009B49DD" w:rsidP="009B49DD">
      <w:pPr>
        <w:pStyle w:val="Default"/>
        <w:spacing w:line="500" w:lineRule="exact"/>
        <w:ind w:firstLineChars="200" w:firstLine="640"/>
        <w:jc w:val="both"/>
        <w:rPr>
          <w:rFonts w:ascii="Times New Roman" w:hAnsi="標楷體" w:cs="Times New Roman"/>
          <w:sz w:val="32"/>
          <w:szCs w:val="32"/>
        </w:rPr>
      </w:pPr>
      <w:r w:rsidRPr="009B49DD">
        <w:rPr>
          <w:rFonts w:ascii="Times New Roman" w:hAnsi="標楷體" w:cs="Times New Roman" w:hint="eastAsia"/>
          <w:sz w:val="32"/>
          <w:szCs w:val="32"/>
        </w:rPr>
        <w:t>「巴黎原則」強調國家人權機構組成之</w:t>
      </w:r>
      <w:r w:rsidRPr="009B49DD">
        <w:rPr>
          <w:rFonts w:ascii="Times New Roman" w:hAnsi="標楷體" w:cs="Times New Roman" w:hint="eastAsia"/>
          <w:sz w:val="32"/>
          <w:szCs w:val="32"/>
        </w:rPr>
        <w:t>6</w:t>
      </w:r>
      <w:r w:rsidRPr="009B49DD">
        <w:rPr>
          <w:rFonts w:ascii="Times New Roman" w:hAnsi="標楷體" w:cs="Times New Roman" w:hint="eastAsia"/>
          <w:sz w:val="32"/>
          <w:szCs w:val="32"/>
        </w:rPr>
        <w:t>項要件：</w:t>
      </w:r>
    </w:p>
    <w:p w:rsidR="009B49DD" w:rsidRPr="009B49DD"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1.</w:t>
      </w:r>
      <w:r w:rsidRPr="009B49DD">
        <w:rPr>
          <w:rFonts w:ascii="Times New Roman" w:hAnsi="標楷體" w:cs="Times New Roman" w:hint="eastAsia"/>
          <w:sz w:val="32"/>
          <w:szCs w:val="32"/>
        </w:rPr>
        <w:t>由法律或憲法確保其獨立性（</w:t>
      </w:r>
      <w:r w:rsidRPr="009B49DD">
        <w:rPr>
          <w:rFonts w:ascii="Times New Roman" w:hAnsi="標楷體" w:cs="Times New Roman" w:hint="eastAsia"/>
          <w:sz w:val="32"/>
          <w:szCs w:val="32"/>
        </w:rPr>
        <w:t xml:space="preserve">guarantees of independence </w:t>
      </w:r>
      <w:r w:rsidRPr="009B49DD">
        <w:rPr>
          <w:rFonts w:ascii="Times New Roman" w:hAnsi="標楷體" w:cs="Times New Roman" w:hint="eastAsia"/>
          <w:sz w:val="32"/>
          <w:szCs w:val="32"/>
        </w:rPr>
        <w:t>）</w:t>
      </w:r>
    </w:p>
    <w:p w:rsidR="009B49DD" w:rsidRPr="009B49DD"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 xml:space="preserve">2. </w:t>
      </w:r>
      <w:r w:rsidRPr="009B49DD">
        <w:rPr>
          <w:rFonts w:ascii="Times New Roman" w:hAnsi="標楷體" w:cs="Times New Roman" w:hint="eastAsia"/>
          <w:sz w:val="32"/>
          <w:szCs w:val="32"/>
        </w:rPr>
        <w:t>核心成員多元化（</w:t>
      </w:r>
      <w:r w:rsidRPr="009B49DD">
        <w:rPr>
          <w:rFonts w:ascii="Times New Roman" w:hAnsi="標楷體" w:cs="Times New Roman" w:hint="eastAsia"/>
          <w:sz w:val="32"/>
          <w:szCs w:val="32"/>
        </w:rPr>
        <w:t xml:space="preserve"> pluralism of members and staff </w:t>
      </w:r>
      <w:r w:rsidRPr="009B49DD">
        <w:rPr>
          <w:rFonts w:ascii="Times New Roman" w:hAnsi="標楷體" w:cs="Times New Roman" w:hint="eastAsia"/>
          <w:sz w:val="32"/>
          <w:szCs w:val="32"/>
        </w:rPr>
        <w:t>）</w:t>
      </w:r>
    </w:p>
    <w:p w:rsidR="009B49DD" w:rsidRPr="009B49DD"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 xml:space="preserve">3. </w:t>
      </w:r>
      <w:r w:rsidRPr="009B49DD">
        <w:rPr>
          <w:rFonts w:ascii="Times New Roman" w:hAnsi="標楷體" w:cs="Times New Roman" w:hint="eastAsia"/>
          <w:sz w:val="32"/>
          <w:szCs w:val="32"/>
        </w:rPr>
        <w:t>具有自主性（</w:t>
      </w:r>
      <w:r w:rsidRPr="009B49DD">
        <w:rPr>
          <w:rFonts w:ascii="Times New Roman" w:hAnsi="標楷體" w:cs="Times New Roman" w:hint="eastAsia"/>
          <w:sz w:val="32"/>
          <w:szCs w:val="32"/>
        </w:rPr>
        <w:t xml:space="preserve"> autonomy from government </w:t>
      </w:r>
      <w:r w:rsidRPr="009B49DD">
        <w:rPr>
          <w:rFonts w:ascii="Times New Roman" w:hAnsi="標楷體" w:cs="Times New Roman" w:hint="eastAsia"/>
          <w:sz w:val="32"/>
          <w:szCs w:val="32"/>
        </w:rPr>
        <w:t>）</w:t>
      </w:r>
    </w:p>
    <w:p w:rsidR="009B49DD" w:rsidRPr="009B49DD"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 xml:space="preserve">4. </w:t>
      </w:r>
      <w:r w:rsidRPr="009B49DD">
        <w:rPr>
          <w:rFonts w:ascii="Times New Roman" w:hAnsi="標楷體" w:cs="Times New Roman" w:hint="eastAsia"/>
          <w:sz w:val="32"/>
          <w:szCs w:val="32"/>
        </w:rPr>
        <w:t>具有充分的調查權（</w:t>
      </w:r>
      <w:r w:rsidRPr="009B49DD">
        <w:rPr>
          <w:rFonts w:ascii="Times New Roman" w:hAnsi="標楷體" w:cs="Times New Roman" w:hint="eastAsia"/>
          <w:sz w:val="32"/>
          <w:szCs w:val="32"/>
        </w:rPr>
        <w:t xml:space="preserve"> adequate powers of investigation </w:t>
      </w:r>
      <w:r w:rsidRPr="009B49DD">
        <w:rPr>
          <w:rFonts w:ascii="Times New Roman" w:hAnsi="標楷體" w:cs="Times New Roman" w:hint="eastAsia"/>
          <w:sz w:val="32"/>
          <w:szCs w:val="32"/>
        </w:rPr>
        <w:t>）</w:t>
      </w:r>
    </w:p>
    <w:p w:rsidR="009B49DD" w:rsidRPr="009B49DD"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 xml:space="preserve">5. </w:t>
      </w:r>
      <w:r w:rsidRPr="009B49DD">
        <w:rPr>
          <w:rFonts w:ascii="Times New Roman" w:hAnsi="標楷體" w:cs="Times New Roman" w:hint="eastAsia"/>
          <w:sz w:val="32"/>
          <w:szCs w:val="32"/>
        </w:rPr>
        <w:t>擁有足夠的運作資源（</w:t>
      </w:r>
      <w:r w:rsidRPr="009B49DD">
        <w:rPr>
          <w:rFonts w:ascii="Times New Roman" w:hAnsi="標楷體" w:cs="Times New Roman" w:hint="eastAsia"/>
          <w:sz w:val="32"/>
          <w:szCs w:val="32"/>
        </w:rPr>
        <w:t xml:space="preserve"> adequate resources </w:t>
      </w:r>
      <w:r w:rsidRPr="009B49DD">
        <w:rPr>
          <w:rFonts w:ascii="Times New Roman" w:hAnsi="標楷體" w:cs="Times New Roman" w:hint="eastAsia"/>
          <w:sz w:val="32"/>
          <w:szCs w:val="32"/>
        </w:rPr>
        <w:t>）</w:t>
      </w:r>
    </w:p>
    <w:p w:rsidR="00BC290A" w:rsidRDefault="009B49DD" w:rsidP="009B49DD">
      <w:pPr>
        <w:pStyle w:val="Default"/>
        <w:spacing w:line="500" w:lineRule="exact"/>
        <w:ind w:left="282" w:hangingChars="88" w:hanging="282"/>
        <w:jc w:val="both"/>
        <w:rPr>
          <w:rFonts w:ascii="Times New Roman" w:hAnsi="標楷體" w:cs="Times New Roman"/>
          <w:sz w:val="32"/>
          <w:szCs w:val="32"/>
        </w:rPr>
      </w:pPr>
      <w:r w:rsidRPr="009B49DD">
        <w:rPr>
          <w:rFonts w:ascii="Times New Roman" w:hAnsi="標楷體" w:cs="Times New Roman" w:hint="eastAsia"/>
          <w:sz w:val="32"/>
          <w:szCs w:val="32"/>
        </w:rPr>
        <w:t xml:space="preserve">6. </w:t>
      </w:r>
      <w:r w:rsidRPr="009B49DD">
        <w:rPr>
          <w:rFonts w:ascii="Times New Roman" w:hAnsi="標楷體" w:cs="Times New Roman" w:hint="eastAsia"/>
          <w:sz w:val="32"/>
          <w:szCs w:val="32"/>
        </w:rPr>
        <w:t>以國際人權標準行使廣泛職權（</w:t>
      </w:r>
      <w:r w:rsidRPr="009B49DD">
        <w:rPr>
          <w:rFonts w:ascii="Times New Roman" w:hAnsi="標楷體" w:cs="Times New Roman" w:hint="eastAsia"/>
          <w:sz w:val="32"/>
          <w:szCs w:val="32"/>
        </w:rPr>
        <w:t xml:space="preserve"> broad-based mandate </w:t>
      </w:r>
      <w:r w:rsidRPr="009B49DD">
        <w:rPr>
          <w:rFonts w:ascii="Times New Roman" w:hAnsi="標楷體" w:cs="Times New Roman" w:hint="eastAsia"/>
          <w:sz w:val="32"/>
          <w:szCs w:val="32"/>
        </w:rPr>
        <w:t>）</w:t>
      </w:r>
    </w:p>
    <w:p w:rsidR="00BC290A" w:rsidRDefault="00BC290A" w:rsidP="00E51119">
      <w:pPr>
        <w:pStyle w:val="Default"/>
        <w:spacing w:line="500" w:lineRule="exact"/>
        <w:jc w:val="both"/>
        <w:rPr>
          <w:rFonts w:ascii="Times New Roman" w:hAnsi="標楷體" w:cs="Times New Roman"/>
          <w:sz w:val="32"/>
          <w:szCs w:val="32"/>
        </w:rPr>
      </w:pPr>
    </w:p>
    <w:p w:rsidR="009B49DD" w:rsidRPr="002967A7" w:rsidRDefault="009B49DD" w:rsidP="002967A7">
      <w:pPr>
        <w:pStyle w:val="Default"/>
        <w:spacing w:line="500" w:lineRule="exact"/>
        <w:ind w:firstLineChars="200" w:firstLine="640"/>
        <w:jc w:val="both"/>
        <w:rPr>
          <w:rFonts w:ascii="Times New Roman" w:hAnsi="標楷體" w:cs="Times New Roman"/>
          <w:sz w:val="32"/>
          <w:szCs w:val="32"/>
        </w:rPr>
      </w:pPr>
      <w:r w:rsidRPr="009B49DD">
        <w:rPr>
          <w:rFonts w:ascii="Times New Roman" w:hAnsi="標楷體" w:cs="Times New Roman" w:hint="eastAsia"/>
          <w:sz w:val="32"/>
          <w:szCs w:val="32"/>
        </w:rPr>
        <w:t>依據「國家人權機構全球聯盟</w:t>
      </w:r>
      <w:proofErr w:type="gramStart"/>
      <w:r w:rsidRPr="009B49DD">
        <w:rPr>
          <w:rFonts w:ascii="Times New Roman" w:hAnsi="標楷體" w:cs="Times New Roman" w:hint="eastAsia"/>
          <w:sz w:val="32"/>
          <w:szCs w:val="32"/>
        </w:rPr>
        <w:t>（</w:t>
      </w:r>
      <w:proofErr w:type="gramEnd"/>
      <w:r w:rsidRPr="009B49DD">
        <w:rPr>
          <w:rFonts w:ascii="Times New Roman" w:hAnsi="標楷體" w:cs="Times New Roman" w:hint="eastAsia"/>
          <w:sz w:val="32"/>
          <w:szCs w:val="32"/>
        </w:rPr>
        <w:t>GANHRI)</w:t>
      </w:r>
      <w:r w:rsidRPr="009B49DD">
        <w:rPr>
          <w:rFonts w:ascii="Times New Roman" w:hAnsi="標楷體" w:cs="Times New Roman" w:hint="eastAsia"/>
          <w:sz w:val="32"/>
          <w:szCs w:val="32"/>
        </w:rPr>
        <w:t>」於</w:t>
      </w:r>
      <w:r w:rsidRPr="009B49DD">
        <w:rPr>
          <w:rFonts w:ascii="Times New Roman" w:hAnsi="標楷體" w:cs="Times New Roman" w:hint="eastAsia"/>
          <w:sz w:val="32"/>
          <w:szCs w:val="32"/>
        </w:rPr>
        <w:t>2</w:t>
      </w:r>
      <w:r w:rsidRPr="009B49DD">
        <w:rPr>
          <w:rFonts w:ascii="Times New Roman" w:hAnsi="標楷體" w:cs="Times New Roman"/>
          <w:sz w:val="32"/>
          <w:szCs w:val="32"/>
        </w:rPr>
        <w:t>019</w:t>
      </w:r>
      <w:r w:rsidRPr="009B49DD">
        <w:rPr>
          <w:rFonts w:ascii="Times New Roman" w:hAnsi="標楷體" w:cs="Times New Roman" w:hint="eastAsia"/>
          <w:sz w:val="32"/>
          <w:szCs w:val="32"/>
        </w:rPr>
        <w:t>年</w:t>
      </w:r>
      <w:r w:rsidRPr="009B49DD">
        <w:rPr>
          <w:rFonts w:ascii="Times New Roman" w:hAnsi="標楷體" w:cs="Times New Roman" w:hint="eastAsia"/>
          <w:sz w:val="32"/>
          <w:szCs w:val="32"/>
        </w:rPr>
        <w:t>4</w:t>
      </w:r>
      <w:r w:rsidRPr="009B49DD">
        <w:rPr>
          <w:rFonts w:ascii="Times New Roman" w:hAnsi="標楷體" w:cs="Times New Roman" w:hint="eastAsia"/>
          <w:sz w:val="32"/>
          <w:szCs w:val="32"/>
        </w:rPr>
        <w:t>月</w:t>
      </w:r>
      <w:r w:rsidR="0047180F" w:rsidRPr="0047180F">
        <w:rPr>
          <w:rFonts w:ascii="Times New Roman" w:hAnsi="標楷體" w:cs="Times New Roman" w:hint="eastAsia"/>
          <w:sz w:val="32"/>
          <w:szCs w:val="32"/>
        </w:rPr>
        <w:t>受理</w:t>
      </w:r>
      <w:r w:rsidRPr="009B49DD">
        <w:rPr>
          <w:rFonts w:ascii="Times New Roman" w:hAnsi="標楷體" w:cs="Times New Roman" w:hint="eastAsia"/>
          <w:sz w:val="32"/>
          <w:szCs w:val="32"/>
        </w:rPr>
        <w:t>全球</w:t>
      </w:r>
      <w:r w:rsidRPr="009B49DD">
        <w:rPr>
          <w:rFonts w:ascii="Times New Roman" w:hAnsi="標楷體" w:cs="Times New Roman" w:hint="eastAsia"/>
          <w:sz w:val="32"/>
          <w:szCs w:val="32"/>
        </w:rPr>
        <w:t>1</w:t>
      </w:r>
      <w:r w:rsidRPr="009B49DD">
        <w:rPr>
          <w:rFonts w:ascii="Times New Roman" w:hAnsi="標楷體" w:cs="Times New Roman"/>
          <w:sz w:val="32"/>
          <w:szCs w:val="32"/>
        </w:rPr>
        <w:t>24</w:t>
      </w:r>
      <w:r w:rsidRPr="009B49DD">
        <w:rPr>
          <w:rFonts w:ascii="Times New Roman" w:hAnsi="標楷體" w:cs="Times New Roman" w:hint="eastAsia"/>
          <w:sz w:val="32"/>
          <w:szCs w:val="32"/>
        </w:rPr>
        <w:t>個國家人權機構</w:t>
      </w:r>
      <w:r w:rsidR="002967A7">
        <w:rPr>
          <w:rFonts w:ascii="Times New Roman" w:hAnsi="標楷體" w:cs="Times New Roman" w:hint="eastAsia"/>
          <w:sz w:val="32"/>
          <w:szCs w:val="32"/>
        </w:rPr>
        <w:t>申請</w:t>
      </w:r>
      <w:r w:rsidRPr="009B49DD">
        <w:rPr>
          <w:rFonts w:ascii="Times New Roman" w:hAnsi="標楷體" w:cs="Times New Roman" w:hint="eastAsia"/>
          <w:sz w:val="32"/>
          <w:szCs w:val="32"/>
        </w:rPr>
        <w:t>評鑑之結果，計有</w:t>
      </w:r>
      <w:r w:rsidRPr="009B49DD">
        <w:rPr>
          <w:rFonts w:ascii="Times New Roman" w:hAnsi="標楷體" w:cs="Times New Roman" w:hint="eastAsia"/>
          <w:sz w:val="32"/>
          <w:szCs w:val="32"/>
        </w:rPr>
        <w:t>80</w:t>
      </w:r>
      <w:r w:rsidRPr="009B49DD">
        <w:rPr>
          <w:rFonts w:ascii="Times New Roman" w:hAnsi="標楷體" w:cs="Times New Roman" w:hint="eastAsia"/>
          <w:sz w:val="32"/>
          <w:szCs w:val="32"/>
        </w:rPr>
        <w:t>個國家人權機構完全符合</w:t>
      </w:r>
      <w:r w:rsidR="002967A7">
        <w:rPr>
          <w:rFonts w:ascii="新細明體" w:eastAsia="新細明體" w:hAnsi="新細明體" w:cs="Times New Roman" w:hint="eastAsia"/>
          <w:sz w:val="32"/>
          <w:szCs w:val="32"/>
        </w:rPr>
        <w:t>「</w:t>
      </w:r>
      <w:r w:rsidRPr="009B49DD">
        <w:rPr>
          <w:rFonts w:ascii="Times New Roman" w:hAnsi="標楷體" w:cs="Times New Roman" w:hint="eastAsia"/>
          <w:sz w:val="32"/>
          <w:szCs w:val="32"/>
        </w:rPr>
        <w:t>巴黎原則</w:t>
      </w:r>
      <w:r w:rsidR="002967A7">
        <w:rPr>
          <w:rFonts w:ascii="新細明體" w:eastAsia="新細明體" w:hAnsi="新細明體" w:cs="Times New Roman" w:hint="eastAsia"/>
          <w:sz w:val="32"/>
          <w:szCs w:val="32"/>
        </w:rPr>
        <w:t>」</w:t>
      </w:r>
      <w:proofErr w:type="gramStart"/>
      <w:r w:rsidRPr="009B49DD">
        <w:rPr>
          <w:rFonts w:ascii="Times New Roman" w:hAnsi="標楷體" w:cs="Times New Roman" w:hint="eastAsia"/>
          <w:sz w:val="32"/>
          <w:szCs w:val="32"/>
        </w:rPr>
        <w:t>—</w:t>
      </w:r>
      <w:proofErr w:type="gramEnd"/>
      <w:r w:rsidRPr="009B49DD">
        <w:rPr>
          <w:rFonts w:ascii="Times New Roman" w:hAnsi="標楷體" w:cs="Times New Roman" w:hint="eastAsia"/>
          <w:sz w:val="32"/>
          <w:szCs w:val="32"/>
        </w:rPr>
        <w:t>屬</w:t>
      </w:r>
      <w:r w:rsidRPr="009B49DD">
        <w:rPr>
          <w:rFonts w:ascii="Times New Roman" w:hAnsi="標楷體" w:cs="Times New Roman" w:hint="eastAsia"/>
          <w:sz w:val="32"/>
          <w:szCs w:val="32"/>
        </w:rPr>
        <w:t>A</w:t>
      </w:r>
      <w:r w:rsidRPr="009B49DD">
        <w:rPr>
          <w:rFonts w:ascii="Times New Roman" w:hAnsi="標楷體" w:cs="Times New Roman" w:hint="eastAsia"/>
          <w:sz w:val="32"/>
          <w:szCs w:val="32"/>
        </w:rPr>
        <w:t>級，有</w:t>
      </w:r>
      <w:r w:rsidRPr="009B49DD">
        <w:rPr>
          <w:rFonts w:ascii="Times New Roman" w:hAnsi="標楷體" w:cs="Times New Roman" w:hint="eastAsia"/>
          <w:sz w:val="32"/>
          <w:szCs w:val="32"/>
        </w:rPr>
        <w:t>3</w:t>
      </w:r>
      <w:r w:rsidRPr="009B49DD">
        <w:rPr>
          <w:rFonts w:ascii="Times New Roman" w:hAnsi="標楷體" w:cs="Times New Roman"/>
          <w:sz w:val="32"/>
          <w:szCs w:val="32"/>
        </w:rPr>
        <w:t>4</w:t>
      </w:r>
      <w:r w:rsidRPr="009B49DD">
        <w:rPr>
          <w:rFonts w:ascii="Times New Roman" w:hAnsi="標楷體" w:cs="Times New Roman" w:hint="eastAsia"/>
          <w:sz w:val="32"/>
          <w:szCs w:val="32"/>
        </w:rPr>
        <w:t>個不完全符合</w:t>
      </w:r>
      <w:r w:rsidR="002967A7">
        <w:rPr>
          <w:rFonts w:ascii="新細明體" w:eastAsia="新細明體" w:hAnsi="新細明體" w:cs="Times New Roman" w:hint="eastAsia"/>
          <w:sz w:val="32"/>
          <w:szCs w:val="32"/>
        </w:rPr>
        <w:t>「</w:t>
      </w:r>
      <w:r w:rsidRPr="009B49DD">
        <w:rPr>
          <w:rFonts w:ascii="Times New Roman" w:hAnsi="標楷體" w:cs="Times New Roman" w:hint="eastAsia"/>
          <w:sz w:val="32"/>
          <w:szCs w:val="32"/>
        </w:rPr>
        <w:t>巴黎原則</w:t>
      </w:r>
      <w:r w:rsidR="002967A7">
        <w:rPr>
          <w:rFonts w:ascii="新細明體" w:eastAsia="新細明體" w:hAnsi="新細明體" w:cs="Times New Roman" w:hint="eastAsia"/>
          <w:sz w:val="32"/>
          <w:szCs w:val="32"/>
        </w:rPr>
        <w:t>」</w:t>
      </w:r>
      <w:r w:rsidRPr="009B49DD">
        <w:rPr>
          <w:rFonts w:ascii="Times New Roman" w:hAnsi="標楷體" w:cs="Times New Roman" w:hint="eastAsia"/>
          <w:sz w:val="32"/>
          <w:szCs w:val="32"/>
        </w:rPr>
        <w:t>－屬</w:t>
      </w:r>
      <w:r w:rsidRPr="009B49DD">
        <w:rPr>
          <w:rFonts w:ascii="Times New Roman" w:hAnsi="標楷體" w:cs="Times New Roman" w:hint="eastAsia"/>
          <w:sz w:val="32"/>
          <w:szCs w:val="32"/>
        </w:rPr>
        <w:t>B</w:t>
      </w:r>
      <w:r w:rsidRPr="009B49DD">
        <w:rPr>
          <w:rFonts w:ascii="Times New Roman" w:hAnsi="標楷體" w:cs="Times New Roman" w:hint="eastAsia"/>
          <w:sz w:val="32"/>
          <w:szCs w:val="32"/>
        </w:rPr>
        <w:t>級，有</w:t>
      </w:r>
      <w:r w:rsidRPr="009B49DD">
        <w:rPr>
          <w:rFonts w:ascii="Times New Roman" w:hAnsi="標楷體" w:cs="Times New Roman" w:hint="eastAsia"/>
          <w:sz w:val="32"/>
          <w:szCs w:val="32"/>
        </w:rPr>
        <w:t>10</w:t>
      </w:r>
      <w:r w:rsidRPr="009B49DD">
        <w:rPr>
          <w:rFonts w:ascii="Times New Roman" w:hAnsi="標楷體" w:cs="Times New Roman" w:hint="eastAsia"/>
          <w:sz w:val="32"/>
          <w:szCs w:val="32"/>
        </w:rPr>
        <w:t>個完全不符合</w:t>
      </w:r>
      <w:r w:rsidR="002967A7">
        <w:rPr>
          <w:rFonts w:ascii="新細明體" w:eastAsia="新細明體" w:hAnsi="新細明體" w:cs="Times New Roman" w:hint="eastAsia"/>
          <w:sz w:val="32"/>
          <w:szCs w:val="32"/>
        </w:rPr>
        <w:t>「</w:t>
      </w:r>
      <w:r w:rsidRPr="009B49DD">
        <w:rPr>
          <w:rFonts w:ascii="Times New Roman" w:hAnsi="標楷體" w:cs="Times New Roman" w:hint="eastAsia"/>
          <w:sz w:val="32"/>
          <w:szCs w:val="32"/>
        </w:rPr>
        <w:t>巴黎原則</w:t>
      </w:r>
      <w:r w:rsidR="002967A7">
        <w:rPr>
          <w:rFonts w:ascii="新細明體" w:eastAsia="新細明體" w:hAnsi="新細明體" w:cs="Times New Roman" w:hint="eastAsia"/>
          <w:sz w:val="32"/>
          <w:szCs w:val="32"/>
        </w:rPr>
        <w:t>」</w:t>
      </w:r>
      <w:r w:rsidRPr="009B49DD">
        <w:rPr>
          <w:rFonts w:ascii="Times New Roman" w:hAnsi="標楷體" w:cs="Times New Roman" w:hint="eastAsia"/>
          <w:sz w:val="32"/>
          <w:szCs w:val="32"/>
        </w:rPr>
        <w:t>－屬</w:t>
      </w:r>
      <w:r w:rsidRPr="009B49DD">
        <w:rPr>
          <w:rFonts w:ascii="Times New Roman" w:hAnsi="標楷體" w:cs="Times New Roman" w:hint="eastAsia"/>
          <w:sz w:val="32"/>
          <w:szCs w:val="32"/>
        </w:rPr>
        <w:t>C</w:t>
      </w:r>
      <w:r w:rsidRPr="009B49DD">
        <w:rPr>
          <w:rFonts w:ascii="Times New Roman" w:hAnsi="標楷體" w:cs="Times New Roman" w:hint="eastAsia"/>
          <w:sz w:val="32"/>
          <w:szCs w:val="32"/>
        </w:rPr>
        <w:t>級。</w:t>
      </w:r>
      <w:r w:rsidR="002967A7" w:rsidRPr="002967A7">
        <w:rPr>
          <w:rFonts w:ascii="Times New Roman" w:hAnsi="標楷體" w:cs="Times New Roman" w:hint="eastAsia"/>
          <w:sz w:val="32"/>
          <w:szCs w:val="32"/>
        </w:rPr>
        <w:t>被評鑑的</w:t>
      </w:r>
      <w:r w:rsidR="002967A7" w:rsidRPr="002967A7">
        <w:rPr>
          <w:rFonts w:ascii="Times New Roman" w:hAnsi="標楷體" w:cs="Times New Roman"/>
          <w:sz w:val="32"/>
          <w:szCs w:val="32"/>
        </w:rPr>
        <w:t>124</w:t>
      </w:r>
      <w:r w:rsidR="002967A7" w:rsidRPr="002967A7">
        <w:rPr>
          <w:rFonts w:ascii="Times New Roman" w:hAnsi="標楷體" w:cs="Times New Roman" w:hint="eastAsia"/>
          <w:sz w:val="32"/>
          <w:szCs w:val="32"/>
        </w:rPr>
        <w:t>個國家人權機構中，以人權委員會為型態者有</w:t>
      </w:r>
      <w:r w:rsidR="002967A7" w:rsidRPr="002967A7">
        <w:rPr>
          <w:rFonts w:ascii="Times New Roman" w:hAnsi="標楷體" w:cs="Times New Roman"/>
          <w:sz w:val="32"/>
          <w:szCs w:val="32"/>
        </w:rPr>
        <w:t>76</w:t>
      </w:r>
      <w:r w:rsidR="002967A7" w:rsidRPr="002967A7">
        <w:rPr>
          <w:rFonts w:ascii="Times New Roman" w:hAnsi="標楷體" w:cs="Times New Roman" w:hint="eastAsia"/>
          <w:sz w:val="32"/>
          <w:szCs w:val="32"/>
        </w:rPr>
        <w:t>個，以監察機關為型態者共</w:t>
      </w:r>
      <w:r w:rsidR="002967A7" w:rsidRPr="002967A7">
        <w:rPr>
          <w:rFonts w:ascii="Times New Roman" w:hAnsi="標楷體" w:cs="Times New Roman"/>
          <w:sz w:val="32"/>
          <w:szCs w:val="32"/>
        </w:rPr>
        <w:t>48</w:t>
      </w:r>
      <w:r w:rsidR="002967A7" w:rsidRPr="002967A7">
        <w:rPr>
          <w:rFonts w:ascii="Times New Roman" w:hAnsi="標楷體" w:cs="Times New Roman" w:hint="eastAsia"/>
          <w:sz w:val="32"/>
          <w:szCs w:val="32"/>
        </w:rPr>
        <w:t>個，約占四成（</w:t>
      </w:r>
      <w:r w:rsidR="002967A7" w:rsidRPr="002967A7">
        <w:rPr>
          <w:rFonts w:ascii="Times New Roman" w:hAnsi="標楷體" w:cs="Times New Roman"/>
          <w:sz w:val="32"/>
          <w:szCs w:val="32"/>
        </w:rPr>
        <w:t>39</w:t>
      </w:r>
      <w:proofErr w:type="gramStart"/>
      <w:r w:rsidR="002967A7" w:rsidRPr="002967A7">
        <w:rPr>
          <w:rFonts w:ascii="Times New Roman" w:hAnsi="標楷體" w:cs="Times New Roman" w:hint="eastAsia"/>
          <w:sz w:val="32"/>
          <w:szCs w:val="32"/>
        </w:rPr>
        <w:t>﹪</w:t>
      </w:r>
      <w:proofErr w:type="gramEnd"/>
      <w:r w:rsidR="002967A7" w:rsidRPr="002967A7">
        <w:rPr>
          <w:rFonts w:ascii="Times New Roman" w:hAnsi="標楷體" w:cs="Times New Roman" w:hint="eastAsia"/>
          <w:sz w:val="32"/>
          <w:szCs w:val="32"/>
        </w:rPr>
        <w:t>），包括傳統監察機關</w:t>
      </w:r>
      <w:r w:rsidR="002967A7" w:rsidRPr="002967A7">
        <w:rPr>
          <w:rFonts w:ascii="Times New Roman" w:hAnsi="標楷體" w:cs="Times New Roman"/>
          <w:sz w:val="32"/>
          <w:szCs w:val="32"/>
        </w:rPr>
        <w:t>12</w:t>
      </w:r>
      <w:r w:rsidR="002967A7" w:rsidRPr="002967A7">
        <w:rPr>
          <w:rFonts w:ascii="Times New Roman" w:hAnsi="標楷體" w:cs="Times New Roman" w:hint="eastAsia"/>
          <w:sz w:val="32"/>
          <w:szCs w:val="32"/>
        </w:rPr>
        <w:t>個、混合型人權監察機關</w:t>
      </w:r>
      <w:r w:rsidR="002967A7" w:rsidRPr="002967A7">
        <w:rPr>
          <w:rFonts w:ascii="Times New Roman" w:hAnsi="標楷體" w:cs="Times New Roman"/>
          <w:sz w:val="32"/>
          <w:szCs w:val="32"/>
        </w:rPr>
        <w:t>36</w:t>
      </w:r>
      <w:r w:rsidR="002967A7" w:rsidRPr="002967A7">
        <w:rPr>
          <w:rFonts w:ascii="Times New Roman" w:hAnsi="標楷體" w:cs="Times New Roman" w:hint="eastAsia"/>
          <w:sz w:val="32"/>
          <w:szCs w:val="32"/>
        </w:rPr>
        <w:t>個，其中有</w:t>
      </w:r>
      <w:r w:rsidR="002967A7" w:rsidRPr="002967A7">
        <w:rPr>
          <w:rFonts w:ascii="Times New Roman" w:hAnsi="標楷體" w:cs="Times New Roman"/>
          <w:sz w:val="32"/>
          <w:szCs w:val="32"/>
        </w:rPr>
        <w:t>32</w:t>
      </w:r>
      <w:r w:rsidR="002967A7" w:rsidRPr="002967A7">
        <w:rPr>
          <w:rFonts w:ascii="Times New Roman" w:hAnsi="標楷體" w:cs="Times New Roman" w:hint="eastAsia"/>
          <w:sz w:val="32"/>
          <w:szCs w:val="32"/>
        </w:rPr>
        <w:t>個為國際監察組織（</w:t>
      </w:r>
      <w:r w:rsidR="002967A7" w:rsidRPr="002967A7">
        <w:rPr>
          <w:rFonts w:ascii="Times New Roman" w:hAnsi="標楷體" w:cs="Times New Roman"/>
          <w:sz w:val="32"/>
          <w:szCs w:val="32"/>
        </w:rPr>
        <w:t>IOI</w:t>
      </w:r>
      <w:r w:rsidR="002967A7" w:rsidRPr="002967A7">
        <w:rPr>
          <w:rFonts w:ascii="Times New Roman" w:hAnsi="標楷體" w:cs="Times New Roman" w:hint="eastAsia"/>
          <w:sz w:val="32"/>
          <w:szCs w:val="32"/>
        </w:rPr>
        <w:t>）會員。</w:t>
      </w:r>
      <w:r w:rsidR="002967A7">
        <w:rPr>
          <w:rFonts w:ascii="Times New Roman" w:hAnsi="標楷體" w:cs="Times New Roman" w:hint="eastAsia"/>
          <w:sz w:val="32"/>
          <w:szCs w:val="32"/>
        </w:rPr>
        <w:t>其</w:t>
      </w:r>
      <w:r w:rsidR="002967A7" w:rsidRPr="002967A7">
        <w:rPr>
          <w:rFonts w:ascii="Times New Roman" w:hAnsi="標楷體" w:cs="Times New Roman" w:hint="eastAsia"/>
          <w:sz w:val="32"/>
          <w:szCs w:val="32"/>
        </w:rPr>
        <w:t>統計表</w:t>
      </w:r>
      <w:r w:rsidR="002967A7">
        <w:rPr>
          <w:rFonts w:ascii="Times New Roman" w:hAnsi="標楷體" w:cs="Times New Roman" w:hint="eastAsia"/>
          <w:sz w:val="32"/>
          <w:szCs w:val="32"/>
        </w:rPr>
        <w:t>如下</w:t>
      </w:r>
      <w:r w:rsidR="002967A7">
        <w:rPr>
          <w:rFonts w:ascii="新細明體" w:eastAsia="新細明體" w:hAnsi="新細明體" w:cs="Times New Roman" w:hint="eastAsia"/>
          <w:sz w:val="32"/>
          <w:szCs w:val="32"/>
        </w:rPr>
        <w:t>：</w:t>
      </w:r>
    </w:p>
    <w:p w:rsidR="002967A7" w:rsidRPr="002967A7" w:rsidRDefault="002967A7" w:rsidP="002967A7">
      <w:pPr>
        <w:ind w:leftChars="-22" w:left="-53" w:firstLineChars="2043" w:firstLine="5726"/>
        <w:rPr>
          <w:rFonts w:ascii="標楷體" w:eastAsia="標楷體" w:hAnsi="標楷體"/>
          <w:b/>
          <w:sz w:val="28"/>
          <w:szCs w:val="28"/>
        </w:rPr>
      </w:pPr>
      <w:r w:rsidRPr="002967A7">
        <w:rPr>
          <w:rFonts w:ascii="標楷體" w:eastAsia="標楷體" w:hAnsi="標楷體" w:hint="eastAsia"/>
          <w:b/>
          <w:sz w:val="28"/>
          <w:szCs w:val="28"/>
        </w:rPr>
        <w:t>監察院彙整及統計</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2967A7" w:rsidRPr="002967A7" w:rsidTr="002967A7">
        <w:trPr>
          <w:trHeight w:val="535"/>
        </w:trPr>
        <w:tc>
          <w:tcPr>
            <w:tcW w:w="2074" w:type="dxa"/>
            <w:vMerge w:val="restart"/>
            <w:shd w:val="clear" w:color="auto" w:fill="auto"/>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數量</w:t>
            </w:r>
          </w:p>
        </w:tc>
        <w:tc>
          <w:tcPr>
            <w:tcW w:w="6222" w:type="dxa"/>
            <w:gridSpan w:val="3"/>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型態</w:t>
            </w:r>
          </w:p>
        </w:tc>
      </w:tr>
      <w:tr w:rsidR="002967A7" w:rsidRPr="002967A7" w:rsidTr="002967A7">
        <w:trPr>
          <w:trHeight w:val="503"/>
        </w:trPr>
        <w:tc>
          <w:tcPr>
            <w:tcW w:w="2074" w:type="dxa"/>
            <w:vMerge/>
            <w:shd w:val="clear" w:color="auto" w:fill="auto"/>
          </w:tcPr>
          <w:p w:rsidR="002967A7" w:rsidRPr="002967A7" w:rsidRDefault="002967A7" w:rsidP="002967A7">
            <w:pPr>
              <w:rPr>
                <w:rFonts w:ascii="標楷體" w:eastAsia="標楷體" w:hAnsi="標楷體"/>
                <w:b/>
                <w:sz w:val="32"/>
                <w:szCs w:val="32"/>
              </w:rPr>
            </w:pPr>
          </w:p>
        </w:tc>
        <w:tc>
          <w:tcPr>
            <w:tcW w:w="2074" w:type="dxa"/>
            <w:vMerge w:val="restart"/>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人權委員會</w:t>
            </w:r>
          </w:p>
        </w:tc>
        <w:tc>
          <w:tcPr>
            <w:tcW w:w="4148" w:type="dxa"/>
            <w:gridSpan w:val="2"/>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監察機關</w:t>
            </w:r>
          </w:p>
        </w:tc>
      </w:tr>
      <w:tr w:rsidR="002967A7" w:rsidRPr="002967A7" w:rsidTr="002967A7">
        <w:trPr>
          <w:trHeight w:val="357"/>
        </w:trPr>
        <w:tc>
          <w:tcPr>
            <w:tcW w:w="2074" w:type="dxa"/>
            <w:vMerge/>
            <w:tcBorders>
              <w:bottom w:val="single" w:sz="8" w:space="0" w:color="auto"/>
            </w:tcBorders>
            <w:shd w:val="clear" w:color="auto" w:fill="auto"/>
          </w:tcPr>
          <w:p w:rsidR="002967A7" w:rsidRPr="002967A7" w:rsidRDefault="002967A7" w:rsidP="002967A7">
            <w:pPr>
              <w:rPr>
                <w:rFonts w:ascii="標楷體" w:eastAsia="標楷體" w:hAnsi="標楷體"/>
                <w:b/>
                <w:sz w:val="32"/>
                <w:szCs w:val="32"/>
              </w:rPr>
            </w:pPr>
          </w:p>
        </w:tc>
        <w:tc>
          <w:tcPr>
            <w:tcW w:w="2074" w:type="dxa"/>
            <w:vMerge/>
            <w:tcBorders>
              <w:bottom w:val="single" w:sz="12" w:space="0" w:color="auto"/>
            </w:tcBorders>
            <w:shd w:val="clear" w:color="auto" w:fill="auto"/>
            <w:vAlign w:val="center"/>
          </w:tcPr>
          <w:p w:rsidR="002967A7" w:rsidRPr="002967A7" w:rsidRDefault="002967A7" w:rsidP="002967A7">
            <w:pPr>
              <w:jc w:val="center"/>
              <w:rPr>
                <w:rFonts w:ascii="標楷體" w:eastAsia="標楷體" w:hAnsi="標楷體"/>
                <w:b/>
                <w:sz w:val="32"/>
                <w:szCs w:val="32"/>
              </w:rPr>
            </w:pPr>
          </w:p>
        </w:tc>
        <w:tc>
          <w:tcPr>
            <w:tcW w:w="2074" w:type="dxa"/>
            <w:tcBorders>
              <w:bottom w:val="single" w:sz="12" w:space="0" w:color="auto"/>
            </w:tcBorders>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傳統型</w:t>
            </w:r>
          </w:p>
        </w:tc>
        <w:tc>
          <w:tcPr>
            <w:tcW w:w="2074" w:type="dxa"/>
            <w:tcBorders>
              <w:bottom w:val="single" w:sz="12" w:space="0" w:color="auto"/>
            </w:tcBorders>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混合型</w:t>
            </w:r>
          </w:p>
        </w:tc>
      </w:tr>
      <w:tr w:rsidR="002967A7" w:rsidRPr="002967A7" w:rsidTr="002967A7">
        <w:tc>
          <w:tcPr>
            <w:tcW w:w="2074" w:type="dxa"/>
            <w:tcBorders>
              <w:top w:val="single" w:sz="8" w:space="0" w:color="auto"/>
              <w:right w:val="single" w:sz="12" w:space="0" w:color="auto"/>
            </w:tcBorders>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個數</w:t>
            </w:r>
          </w:p>
        </w:tc>
        <w:tc>
          <w:tcPr>
            <w:tcW w:w="2074" w:type="dxa"/>
            <w:tcBorders>
              <w:top w:val="single" w:sz="12" w:space="0" w:color="auto"/>
              <w:left w:val="single" w:sz="12" w:space="0" w:color="auto"/>
            </w:tcBorders>
            <w:shd w:val="clear" w:color="auto" w:fill="auto"/>
            <w:vAlign w:val="center"/>
          </w:tcPr>
          <w:p w:rsidR="002967A7" w:rsidRPr="002967A7" w:rsidRDefault="002967A7" w:rsidP="002967A7">
            <w:pPr>
              <w:jc w:val="center"/>
              <w:rPr>
                <w:rFonts w:ascii="標楷體" w:eastAsia="標楷體" w:hAnsi="標楷體"/>
                <w:sz w:val="36"/>
                <w:szCs w:val="36"/>
              </w:rPr>
            </w:pPr>
            <w:r w:rsidRPr="002967A7">
              <w:rPr>
                <w:rFonts w:ascii="標楷體" w:eastAsia="標楷體" w:hAnsi="標楷體"/>
                <w:sz w:val="36"/>
                <w:szCs w:val="36"/>
              </w:rPr>
              <w:t>76</w:t>
            </w:r>
          </w:p>
        </w:tc>
        <w:tc>
          <w:tcPr>
            <w:tcW w:w="2074" w:type="dxa"/>
            <w:tcBorders>
              <w:top w:val="single" w:sz="12" w:space="0" w:color="auto"/>
            </w:tcBorders>
            <w:shd w:val="clear" w:color="auto" w:fill="auto"/>
            <w:vAlign w:val="center"/>
          </w:tcPr>
          <w:p w:rsidR="002967A7" w:rsidRPr="002967A7" w:rsidRDefault="002967A7" w:rsidP="002967A7">
            <w:pPr>
              <w:jc w:val="center"/>
              <w:rPr>
                <w:rFonts w:ascii="標楷體" w:eastAsia="標楷體" w:hAnsi="標楷體"/>
                <w:sz w:val="36"/>
                <w:szCs w:val="36"/>
              </w:rPr>
            </w:pPr>
            <w:r w:rsidRPr="002967A7">
              <w:rPr>
                <w:rFonts w:ascii="標楷體" w:eastAsia="標楷體" w:hAnsi="標楷體" w:hint="eastAsia"/>
                <w:sz w:val="36"/>
                <w:szCs w:val="36"/>
              </w:rPr>
              <w:t>12</w:t>
            </w:r>
          </w:p>
        </w:tc>
        <w:tc>
          <w:tcPr>
            <w:tcW w:w="2074" w:type="dxa"/>
            <w:tcBorders>
              <w:top w:val="single" w:sz="12" w:space="0" w:color="auto"/>
            </w:tcBorders>
            <w:shd w:val="clear" w:color="auto" w:fill="auto"/>
            <w:vAlign w:val="center"/>
          </w:tcPr>
          <w:p w:rsidR="002967A7" w:rsidRPr="002967A7" w:rsidRDefault="002967A7" w:rsidP="002967A7">
            <w:pPr>
              <w:jc w:val="center"/>
              <w:rPr>
                <w:rFonts w:ascii="標楷體" w:eastAsia="標楷體" w:hAnsi="標楷體"/>
                <w:sz w:val="36"/>
                <w:szCs w:val="36"/>
              </w:rPr>
            </w:pPr>
            <w:r w:rsidRPr="002967A7">
              <w:rPr>
                <w:rFonts w:ascii="標楷體" w:eastAsia="標楷體" w:hAnsi="標楷體" w:hint="eastAsia"/>
                <w:sz w:val="36"/>
                <w:szCs w:val="36"/>
              </w:rPr>
              <w:t>3</w:t>
            </w:r>
            <w:r w:rsidRPr="002967A7">
              <w:rPr>
                <w:rFonts w:ascii="標楷體" w:eastAsia="標楷體" w:hAnsi="標楷體"/>
                <w:sz w:val="36"/>
                <w:szCs w:val="36"/>
              </w:rPr>
              <w:t>6</w:t>
            </w:r>
          </w:p>
        </w:tc>
      </w:tr>
      <w:tr w:rsidR="002967A7" w:rsidRPr="002967A7" w:rsidTr="002967A7">
        <w:tc>
          <w:tcPr>
            <w:tcW w:w="2074" w:type="dxa"/>
            <w:tcBorders>
              <w:right w:val="single" w:sz="12" w:space="0" w:color="auto"/>
            </w:tcBorders>
            <w:shd w:val="clear" w:color="auto" w:fill="auto"/>
            <w:vAlign w:val="center"/>
          </w:tcPr>
          <w:p w:rsidR="002967A7" w:rsidRPr="002967A7" w:rsidRDefault="002967A7" w:rsidP="002967A7">
            <w:pPr>
              <w:jc w:val="center"/>
              <w:rPr>
                <w:rFonts w:ascii="標楷體" w:eastAsia="標楷體" w:hAnsi="標楷體"/>
                <w:b/>
                <w:sz w:val="32"/>
                <w:szCs w:val="32"/>
              </w:rPr>
            </w:pPr>
            <w:r w:rsidRPr="002967A7">
              <w:rPr>
                <w:rFonts w:ascii="標楷體" w:eastAsia="標楷體" w:hAnsi="標楷體" w:hint="eastAsia"/>
                <w:b/>
                <w:sz w:val="32"/>
                <w:szCs w:val="32"/>
              </w:rPr>
              <w:t>比例</w:t>
            </w:r>
          </w:p>
        </w:tc>
        <w:tc>
          <w:tcPr>
            <w:tcW w:w="2074" w:type="dxa"/>
            <w:tcBorders>
              <w:left w:val="single" w:sz="12" w:space="0" w:color="auto"/>
            </w:tcBorders>
            <w:shd w:val="clear" w:color="auto" w:fill="auto"/>
            <w:vAlign w:val="center"/>
          </w:tcPr>
          <w:p w:rsidR="002967A7" w:rsidRPr="002967A7" w:rsidRDefault="002967A7" w:rsidP="002967A7">
            <w:pPr>
              <w:jc w:val="center"/>
              <w:rPr>
                <w:rFonts w:ascii="標楷體" w:eastAsia="標楷體" w:hAnsi="標楷體"/>
                <w:sz w:val="36"/>
                <w:szCs w:val="36"/>
              </w:rPr>
            </w:pPr>
            <w:r w:rsidRPr="002967A7">
              <w:rPr>
                <w:rFonts w:ascii="標楷體" w:eastAsia="標楷體" w:hAnsi="標楷體" w:hint="eastAsia"/>
                <w:sz w:val="36"/>
                <w:szCs w:val="36"/>
              </w:rPr>
              <w:t>6</w:t>
            </w:r>
            <w:r w:rsidRPr="002967A7">
              <w:rPr>
                <w:rFonts w:ascii="標楷體" w:eastAsia="標楷體" w:hAnsi="標楷體"/>
                <w:sz w:val="36"/>
                <w:szCs w:val="36"/>
              </w:rPr>
              <w:t>1</w:t>
            </w:r>
            <w:r w:rsidRPr="002967A7">
              <w:rPr>
                <w:rFonts w:ascii="標楷體" w:eastAsia="標楷體" w:hAnsi="標楷體" w:hint="eastAsia"/>
                <w:sz w:val="36"/>
                <w:szCs w:val="36"/>
              </w:rPr>
              <w:t>%</w:t>
            </w:r>
          </w:p>
        </w:tc>
        <w:tc>
          <w:tcPr>
            <w:tcW w:w="4148" w:type="dxa"/>
            <w:gridSpan w:val="2"/>
            <w:shd w:val="clear" w:color="auto" w:fill="auto"/>
            <w:vAlign w:val="center"/>
          </w:tcPr>
          <w:p w:rsidR="002967A7" w:rsidRPr="002967A7" w:rsidRDefault="002967A7" w:rsidP="002967A7">
            <w:pPr>
              <w:jc w:val="center"/>
              <w:rPr>
                <w:rFonts w:ascii="標楷體" w:eastAsia="標楷體" w:hAnsi="標楷體"/>
                <w:sz w:val="36"/>
                <w:szCs w:val="36"/>
              </w:rPr>
            </w:pPr>
            <w:r w:rsidRPr="002967A7">
              <w:rPr>
                <w:rFonts w:ascii="標楷體" w:eastAsia="標楷體" w:hAnsi="標楷體"/>
                <w:sz w:val="36"/>
                <w:szCs w:val="36"/>
              </w:rPr>
              <w:t>39</w:t>
            </w:r>
            <w:r w:rsidRPr="002967A7">
              <w:rPr>
                <w:rFonts w:ascii="標楷體" w:eastAsia="標楷體" w:hAnsi="標楷體" w:hint="eastAsia"/>
                <w:sz w:val="36"/>
                <w:szCs w:val="36"/>
              </w:rPr>
              <w:t>%</w:t>
            </w:r>
          </w:p>
        </w:tc>
      </w:tr>
    </w:tbl>
    <w:p w:rsidR="002967A7" w:rsidRPr="002967A7" w:rsidRDefault="002967A7" w:rsidP="002967A7">
      <w:pPr>
        <w:pStyle w:val="Default"/>
        <w:spacing w:line="500" w:lineRule="exact"/>
        <w:ind w:firstLineChars="200" w:firstLine="640"/>
        <w:jc w:val="both"/>
        <w:rPr>
          <w:rFonts w:ascii="Times New Roman" w:hAnsi="標楷體" w:cs="Times New Roman"/>
          <w:sz w:val="32"/>
          <w:szCs w:val="32"/>
        </w:rPr>
      </w:pPr>
      <w:r w:rsidRPr="002967A7">
        <w:rPr>
          <w:rFonts w:ascii="Times New Roman" w:hAnsi="標楷體" w:cs="Times New Roman" w:hint="eastAsia"/>
          <w:sz w:val="32"/>
          <w:szCs w:val="32"/>
        </w:rPr>
        <w:lastRenderedPageBreak/>
        <w:t>上述統計證明監察機關即是人權機構之型態，監察院實質上即是國家人權機構，而且依據</w:t>
      </w:r>
      <w:r w:rsidRPr="002967A7">
        <w:rPr>
          <w:rFonts w:ascii="Times New Roman" w:hAnsi="標楷體" w:cs="Times New Roman"/>
          <w:sz w:val="32"/>
          <w:szCs w:val="32"/>
        </w:rPr>
        <w:t>憲法、憲法增修條文</w:t>
      </w:r>
      <w:r w:rsidRPr="002967A7">
        <w:rPr>
          <w:rFonts w:ascii="Times New Roman" w:hAnsi="標楷體" w:cs="Times New Roman" w:hint="eastAsia"/>
          <w:sz w:val="32"/>
          <w:szCs w:val="32"/>
        </w:rPr>
        <w:t>及</w:t>
      </w:r>
      <w:r w:rsidRPr="002967A7">
        <w:rPr>
          <w:rFonts w:ascii="Times New Roman" w:hAnsi="標楷體" w:cs="Times New Roman"/>
          <w:sz w:val="32"/>
          <w:szCs w:val="32"/>
        </w:rPr>
        <w:t>監察法</w:t>
      </w:r>
      <w:r w:rsidRPr="002967A7">
        <w:rPr>
          <w:rFonts w:ascii="Times New Roman" w:hAnsi="標楷體" w:cs="Times New Roman" w:hint="eastAsia"/>
          <w:sz w:val="32"/>
          <w:szCs w:val="32"/>
        </w:rPr>
        <w:t>，目前</w:t>
      </w:r>
      <w:r w:rsidRPr="002967A7">
        <w:rPr>
          <w:rFonts w:ascii="Times New Roman" w:hAnsi="標楷體" w:cs="Times New Roman"/>
          <w:sz w:val="32"/>
          <w:szCs w:val="32"/>
        </w:rPr>
        <w:t>監察院職權滿足「巴黎原則」</w:t>
      </w:r>
      <w:r w:rsidRPr="002967A7">
        <w:rPr>
          <w:rFonts w:ascii="Times New Roman" w:hAnsi="標楷體" w:cs="Times New Roman" w:hint="eastAsia"/>
          <w:sz w:val="32"/>
          <w:szCs w:val="32"/>
        </w:rPr>
        <w:t>揭示</w:t>
      </w:r>
      <w:r w:rsidRPr="002967A7">
        <w:rPr>
          <w:rFonts w:ascii="Times New Roman" w:hAnsi="標楷體" w:cs="Times New Roman"/>
          <w:sz w:val="32"/>
          <w:szCs w:val="32"/>
        </w:rPr>
        <w:t>國家人權機構之大</w:t>
      </w:r>
      <w:r w:rsidRPr="002967A7">
        <w:rPr>
          <w:rFonts w:ascii="Times New Roman" w:hAnsi="標楷體" w:cs="Times New Roman" w:hint="eastAsia"/>
          <w:sz w:val="32"/>
          <w:szCs w:val="32"/>
        </w:rPr>
        <w:t>部分要件。但是法律尚未明定監察院掌理人權事項，縱使</w:t>
      </w:r>
      <w:r w:rsidRPr="002967A7">
        <w:rPr>
          <w:rFonts w:ascii="Times New Roman" w:hAnsi="標楷體" w:cs="Times New Roman"/>
          <w:sz w:val="32"/>
          <w:szCs w:val="32"/>
        </w:rPr>
        <w:t>GANHRI</w:t>
      </w:r>
      <w:r w:rsidRPr="002967A7">
        <w:rPr>
          <w:rFonts w:ascii="Times New Roman" w:hAnsi="標楷體" w:cs="Times New Roman" w:hint="eastAsia"/>
          <w:sz w:val="32"/>
          <w:szCs w:val="32"/>
        </w:rPr>
        <w:t>（具有聯合國諮詢地位之非政府組織）同意受理評鑑，可能無法達到</w:t>
      </w:r>
      <w:r w:rsidRPr="002967A7">
        <w:rPr>
          <w:rFonts w:ascii="Times New Roman" w:hAnsi="標楷體" w:cs="Times New Roman"/>
          <w:sz w:val="32"/>
          <w:szCs w:val="32"/>
        </w:rPr>
        <w:t>A</w:t>
      </w:r>
      <w:r w:rsidRPr="002967A7">
        <w:rPr>
          <w:rFonts w:ascii="Times New Roman" w:hAnsi="標楷體" w:cs="Times New Roman" w:hint="eastAsia"/>
          <w:sz w:val="32"/>
          <w:szCs w:val="32"/>
        </w:rPr>
        <w:t>等級之認定。</w:t>
      </w:r>
    </w:p>
    <w:p w:rsidR="002967A7" w:rsidRPr="002967A7" w:rsidRDefault="002967A7" w:rsidP="00E51119">
      <w:pPr>
        <w:pStyle w:val="Default"/>
        <w:spacing w:line="500" w:lineRule="exact"/>
        <w:jc w:val="both"/>
        <w:rPr>
          <w:rFonts w:ascii="Times New Roman" w:hAnsi="標楷體" w:cs="Times New Roman"/>
          <w:sz w:val="32"/>
          <w:szCs w:val="32"/>
        </w:rPr>
      </w:pPr>
    </w:p>
    <w:p w:rsidR="002967A7" w:rsidRDefault="002967A7" w:rsidP="002967A7">
      <w:pPr>
        <w:pStyle w:val="Default"/>
        <w:spacing w:line="500" w:lineRule="exact"/>
        <w:ind w:firstLineChars="200" w:firstLine="640"/>
        <w:jc w:val="both"/>
        <w:rPr>
          <w:rFonts w:ascii="Times New Roman" w:hAnsi="標楷體" w:cs="Times New Roman"/>
          <w:sz w:val="32"/>
          <w:szCs w:val="32"/>
        </w:rPr>
      </w:pPr>
      <w:r w:rsidRPr="002967A7">
        <w:rPr>
          <w:rFonts w:ascii="Times New Roman" w:hAnsi="標楷體" w:cs="Times New Roman" w:hint="eastAsia"/>
          <w:sz w:val="32"/>
          <w:szCs w:val="32"/>
        </w:rPr>
        <w:t>為使監察院完全符合「巴黎原則」揭示之所有要件，</w:t>
      </w:r>
      <w:r w:rsidR="001C4522" w:rsidRPr="002967A7">
        <w:rPr>
          <w:rFonts w:ascii="Times New Roman" w:hAnsi="標楷體" w:cs="Times New Roman" w:hint="eastAsia"/>
          <w:sz w:val="32"/>
          <w:szCs w:val="32"/>
        </w:rPr>
        <w:t>監察院</w:t>
      </w:r>
      <w:r w:rsidR="001C4522" w:rsidRPr="001C4522">
        <w:rPr>
          <w:rFonts w:ascii="Times New Roman" w:hAnsi="標楷體" w:cs="Times New Roman" w:hint="eastAsia"/>
          <w:sz w:val="32"/>
          <w:szCs w:val="32"/>
        </w:rPr>
        <w:t>於</w:t>
      </w:r>
      <w:r w:rsidR="001C4522" w:rsidRPr="001C4522">
        <w:rPr>
          <w:rFonts w:ascii="Times New Roman" w:hAnsi="標楷體" w:cs="Times New Roman" w:hint="eastAsia"/>
          <w:sz w:val="32"/>
          <w:szCs w:val="32"/>
        </w:rPr>
        <w:t>108</w:t>
      </w:r>
      <w:r w:rsidR="001C4522" w:rsidRPr="001C4522">
        <w:rPr>
          <w:rFonts w:ascii="Times New Roman" w:hAnsi="標楷體" w:cs="Times New Roman" w:hint="eastAsia"/>
          <w:sz w:val="32"/>
          <w:szCs w:val="32"/>
        </w:rPr>
        <w:t>年</w:t>
      </w:r>
      <w:r w:rsidR="001C4522" w:rsidRPr="001C4522">
        <w:rPr>
          <w:rFonts w:ascii="Times New Roman" w:hAnsi="標楷體" w:cs="Times New Roman" w:hint="eastAsia"/>
          <w:sz w:val="32"/>
          <w:szCs w:val="32"/>
        </w:rPr>
        <w:t>6</w:t>
      </w:r>
      <w:r w:rsidR="001C4522" w:rsidRPr="001C4522">
        <w:rPr>
          <w:rFonts w:ascii="Times New Roman" w:hAnsi="標楷體" w:cs="Times New Roman" w:hint="eastAsia"/>
          <w:sz w:val="32"/>
          <w:szCs w:val="32"/>
        </w:rPr>
        <w:t>月</w:t>
      </w:r>
      <w:r w:rsidR="001C4522" w:rsidRPr="001C4522">
        <w:rPr>
          <w:rFonts w:ascii="Times New Roman" w:hAnsi="標楷體" w:cs="Times New Roman" w:hint="eastAsia"/>
          <w:sz w:val="32"/>
          <w:szCs w:val="32"/>
        </w:rPr>
        <w:t>19</w:t>
      </w:r>
      <w:r w:rsidR="001C4522" w:rsidRPr="001C4522">
        <w:rPr>
          <w:rFonts w:ascii="Times New Roman" w:hAnsi="標楷體" w:cs="Times New Roman" w:hint="eastAsia"/>
          <w:sz w:val="32"/>
          <w:szCs w:val="32"/>
        </w:rPr>
        <w:t>日提送「監察院國家人權委員會組織法草案」、「監察院組織法部分條文修正草案」及「監察院各委員會組織法部分條文修正草案」，函請貴院審議。</w:t>
      </w:r>
      <w:bookmarkStart w:id="0" w:name="_GoBack"/>
      <w:bookmarkEnd w:id="0"/>
    </w:p>
    <w:sectPr w:rsidR="002967A7" w:rsidSect="00946D60">
      <w:footerReference w:type="default" r:id="rId6"/>
      <w:pgSz w:w="11906" w:h="16838"/>
      <w:pgMar w:top="1440"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21" w:rsidRDefault="00B67B21" w:rsidP="004313FF">
      <w:r>
        <w:separator/>
      </w:r>
    </w:p>
  </w:endnote>
  <w:endnote w:type="continuationSeparator" w:id="0">
    <w:p w:rsidR="00B67B21" w:rsidRDefault="00B67B21" w:rsidP="0043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760758"/>
      <w:docPartObj>
        <w:docPartGallery w:val="Page Numbers (Bottom of Page)"/>
        <w:docPartUnique/>
      </w:docPartObj>
    </w:sdtPr>
    <w:sdtEndPr/>
    <w:sdtContent>
      <w:p w:rsidR="002967A7" w:rsidRDefault="002967A7" w:rsidP="00946D60">
        <w:pPr>
          <w:pStyle w:val="a5"/>
          <w:jc w:val="center"/>
        </w:pPr>
        <w:r>
          <w:fldChar w:fldCharType="begin"/>
        </w:r>
        <w:r>
          <w:instrText>PAGE   \* MERGEFORMAT</w:instrText>
        </w:r>
        <w:r>
          <w:fldChar w:fldCharType="separate"/>
        </w:r>
        <w:r w:rsidR="006E5573" w:rsidRPr="006E5573">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21" w:rsidRDefault="00B67B21" w:rsidP="004313FF">
      <w:r>
        <w:separator/>
      </w:r>
    </w:p>
  </w:footnote>
  <w:footnote w:type="continuationSeparator" w:id="0">
    <w:p w:rsidR="00B67B21" w:rsidRDefault="00B67B21" w:rsidP="0043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B"/>
    <w:rsid w:val="001C4522"/>
    <w:rsid w:val="002967A7"/>
    <w:rsid w:val="004313FF"/>
    <w:rsid w:val="0047180F"/>
    <w:rsid w:val="004C261B"/>
    <w:rsid w:val="00571D1D"/>
    <w:rsid w:val="006E5573"/>
    <w:rsid w:val="0070504C"/>
    <w:rsid w:val="0070547C"/>
    <w:rsid w:val="00721798"/>
    <w:rsid w:val="007B4FCB"/>
    <w:rsid w:val="00861E8B"/>
    <w:rsid w:val="00946D60"/>
    <w:rsid w:val="009B49DD"/>
    <w:rsid w:val="00A610E9"/>
    <w:rsid w:val="00A8052F"/>
    <w:rsid w:val="00A834BC"/>
    <w:rsid w:val="00B35952"/>
    <w:rsid w:val="00B57729"/>
    <w:rsid w:val="00B67B21"/>
    <w:rsid w:val="00BC290A"/>
    <w:rsid w:val="00BE3F33"/>
    <w:rsid w:val="00DA08AF"/>
    <w:rsid w:val="00DD2029"/>
    <w:rsid w:val="00E51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92C7B-6F77-49D2-B09C-AF9929B9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1D"/>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1E8B"/>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4313FF"/>
    <w:pPr>
      <w:tabs>
        <w:tab w:val="center" w:pos="4153"/>
        <w:tab w:val="right" w:pos="8306"/>
      </w:tabs>
      <w:snapToGrid w:val="0"/>
    </w:pPr>
    <w:rPr>
      <w:sz w:val="20"/>
      <w:szCs w:val="20"/>
    </w:rPr>
  </w:style>
  <w:style w:type="character" w:customStyle="1" w:styleId="a4">
    <w:name w:val="頁首 字元"/>
    <w:basedOn w:val="a0"/>
    <w:link w:val="a3"/>
    <w:uiPriority w:val="99"/>
    <w:rsid w:val="004313FF"/>
    <w:rPr>
      <w:kern w:val="2"/>
    </w:rPr>
  </w:style>
  <w:style w:type="paragraph" w:styleId="a5">
    <w:name w:val="footer"/>
    <w:basedOn w:val="a"/>
    <w:link w:val="a6"/>
    <w:uiPriority w:val="99"/>
    <w:unhideWhenUsed/>
    <w:rsid w:val="004313FF"/>
    <w:pPr>
      <w:tabs>
        <w:tab w:val="center" w:pos="4153"/>
        <w:tab w:val="right" w:pos="8306"/>
      </w:tabs>
      <w:snapToGrid w:val="0"/>
    </w:pPr>
    <w:rPr>
      <w:sz w:val="20"/>
      <w:szCs w:val="20"/>
    </w:rPr>
  </w:style>
  <w:style w:type="character" w:customStyle="1" w:styleId="a6">
    <w:name w:val="頁尾 字元"/>
    <w:basedOn w:val="a0"/>
    <w:link w:val="a5"/>
    <w:uiPriority w:val="99"/>
    <w:rsid w:val="004313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1326</Characters>
  <Application>Microsoft Office Word</Application>
  <DocSecurity>0</DocSecurity>
  <Lines>11</Lines>
  <Paragraphs>3</Paragraphs>
  <ScaleCrop>false</ScaleCrop>
  <Company>Hewlett-Packard Company</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林明輝</cp:lastModifiedBy>
  <cp:revision>3</cp:revision>
  <cp:lastPrinted>2011-10-18T03:16:00Z</cp:lastPrinted>
  <dcterms:created xsi:type="dcterms:W3CDTF">2019-08-01T09:25:00Z</dcterms:created>
  <dcterms:modified xsi:type="dcterms:W3CDTF">2019-08-01T09:27:00Z</dcterms:modified>
</cp:coreProperties>
</file>