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33" w:rsidRDefault="00C47610" w:rsidP="00C47610">
      <w:pPr>
        <w:tabs>
          <w:tab w:val="left" w:pos="4200"/>
        </w:tabs>
        <w:spacing w:line="400" w:lineRule="exact"/>
        <w:ind w:leftChars="-93" w:left="63" w:hangingChars="93" w:hanging="361"/>
        <w:jc w:val="center"/>
        <w:rPr>
          <w:rFonts w:hAnsi="標楷體"/>
          <w:bCs/>
          <w:spacing w:val="-6"/>
          <w:sz w:val="40"/>
        </w:rPr>
      </w:pPr>
      <w:r w:rsidRPr="00C47610">
        <w:rPr>
          <w:rFonts w:hAnsi="標楷體"/>
          <w:bCs/>
          <w:spacing w:val="-6"/>
          <w:sz w:val="40"/>
        </w:rPr>
        <w:t>監察院</w:t>
      </w:r>
      <w:r w:rsidR="00D41F33" w:rsidRPr="00477922">
        <w:rPr>
          <w:rFonts w:hAnsi="標楷體"/>
          <w:bCs/>
          <w:spacing w:val="-6"/>
          <w:sz w:val="40"/>
        </w:rPr>
        <w:t>人權保障案件統計</w:t>
      </w:r>
      <w:r>
        <w:rPr>
          <w:rFonts w:hAnsi="標楷體"/>
          <w:bCs/>
          <w:spacing w:val="-6"/>
          <w:sz w:val="40"/>
        </w:rPr>
        <w:t>科目定義</w:t>
      </w:r>
    </w:p>
    <w:p w:rsidR="00C47610" w:rsidRPr="00477922" w:rsidRDefault="00C47610" w:rsidP="009A5740">
      <w:pPr>
        <w:spacing w:line="400" w:lineRule="exact"/>
        <w:ind w:left="0" w:firstLineChars="0" w:firstLine="0"/>
        <w:jc w:val="center"/>
        <w:rPr>
          <w:sz w:val="22"/>
          <w:szCs w:val="22"/>
        </w:rPr>
      </w:pPr>
      <w:r w:rsidRPr="00477922">
        <w:rPr>
          <w:rFonts w:hAnsi="標楷體"/>
          <w:sz w:val="22"/>
          <w:szCs w:val="22"/>
        </w:rPr>
        <w:t>依據</w:t>
      </w:r>
      <w:r>
        <w:rPr>
          <w:rFonts w:hAnsi="標楷體" w:hint="eastAsia"/>
          <w:sz w:val="22"/>
          <w:szCs w:val="22"/>
        </w:rPr>
        <w:t>10</w:t>
      </w:r>
      <w:r w:rsidR="00B74CA6">
        <w:rPr>
          <w:rFonts w:hAnsi="標楷體" w:hint="eastAsia"/>
          <w:sz w:val="22"/>
          <w:szCs w:val="22"/>
        </w:rPr>
        <w:t>7</w:t>
      </w:r>
      <w:r>
        <w:rPr>
          <w:rFonts w:hAnsi="標楷體" w:hint="eastAsia"/>
          <w:sz w:val="22"/>
          <w:szCs w:val="22"/>
        </w:rPr>
        <w:t>年</w:t>
      </w:r>
      <w:r w:rsidR="009A5740">
        <w:rPr>
          <w:rFonts w:hAnsi="標楷體" w:hint="eastAsia"/>
          <w:sz w:val="22"/>
          <w:szCs w:val="22"/>
        </w:rPr>
        <w:t>6</w:t>
      </w:r>
      <w:r>
        <w:rPr>
          <w:rFonts w:hAnsi="標楷體" w:hint="eastAsia"/>
          <w:sz w:val="22"/>
          <w:szCs w:val="22"/>
        </w:rPr>
        <w:t>月</w:t>
      </w:r>
      <w:r w:rsidR="009A5740">
        <w:rPr>
          <w:rFonts w:hAnsi="標楷體" w:hint="eastAsia"/>
          <w:sz w:val="22"/>
          <w:szCs w:val="22"/>
        </w:rPr>
        <w:t>19</w:t>
      </w:r>
      <w:r>
        <w:rPr>
          <w:rFonts w:hAnsi="標楷體" w:hint="eastAsia"/>
          <w:sz w:val="22"/>
          <w:szCs w:val="22"/>
        </w:rPr>
        <w:t>日監察</w:t>
      </w:r>
      <w:r w:rsidRPr="00477922">
        <w:rPr>
          <w:rFonts w:hAnsi="標楷體"/>
          <w:sz w:val="22"/>
          <w:szCs w:val="22"/>
        </w:rPr>
        <w:t>院人權保障委員會暨性別平等小組第</w:t>
      </w:r>
      <w:r w:rsidRPr="00477922">
        <w:rPr>
          <w:sz w:val="22"/>
          <w:szCs w:val="22"/>
        </w:rPr>
        <w:t>5</w:t>
      </w:r>
      <w:r w:rsidRPr="00477922">
        <w:rPr>
          <w:rFonts w:hAnsi="標楷體"/>
          <w:sz w:val="22"/>
          <w:szCs w:val="22"/>
        </w:rPr>
        <w:t>屆第</w:t>
      </w:r>
      <w:r w:rsidR="009A5740">
        <w:rPr>
          <w:rFonts w:hAnsi="標楷體" w:hint="eastAsia"/>
          <w:sz w:val="22"/>
          <w:szCs w:val="22"/>
        </w:rPr>
        <w:t>43</w:t>
      </w:r>
      <w:r w:rsidRPr="00477922">
        <w:rPr>
          <w:rFonts w:hAnsi="標楷體"/>
          <w:sz w:val="22"/>
          <w:szCs w:val="22"/>
        </w:rPr>
        <w:t>次會議決議修正</w:t>
      </w:r>
    </w:p>
    <w:p w:rsidR="00D41F33" w:rsidRPr="00477922" w:rsidRDefault="003362BD" w:rsidP="00C47AA5">
      <w:pPr>
        <w:spacing w:beforeLines="50" w:before="217" w:afterLines="20" w:after="87" w:line="280" w:lineRule="exact"/>
        <w:ind w:left="805" w:rightChars="217" w:right="694" w:hanging="805"/>
        <w:jc w:val="both"/>
        <w:rPr>
          <w:b/>
          <w:bCs/>
          <w:spacing w:val="-6"/>
          <w:sz w:val="28"/>
        </w:rPr>
      </w:pPr>
      <w:r>
        <w:rPr>
          <w:rFonts w:hAnsi="標楷體"/>
          <w:b/>
          <w:bCs/>
          <w:spacing w:val="-6"/>
          <w:sz w:val="28"/>
        </w:rPr>
        <w:t>一、</w:t>
      </w:r>
      <w:r w:rsidR="00F26E59" w:rsidRPr="00477922">
        <w:rPr>
          <w:rFonts w:hAnsi="標楷體"/>
          <w:b/>
          <w:bCs/>
          <w:spacing w:val="-6"/>
          <w:sz w:val="28"/>
        </w:rPr>
        <w:t>性質別</w:t>
      </w:r>
      <w:r w:rsidR="00D41F33" w:rsidRPr="00477922">
        <w:rPr>
          <w:rFonts w:hAnsi="標楷體"/>
          <w:b/>
          <w:bCs/>
          <w:spacing w:val="-6"/>
          <w:sz w:val="28"/>
        </w:rPr>
        <w:t>統計科目定義</w:t>
      </w:r>
    </w:p>
    <w:p w:rsidR="009A5740" w:rsidRPr="009A5740" w:rsidRDefault="009A5740" w:rsidP="009A5740">
      <w:pPr>
        <w:numPr>
          <w:ilvl w:val="0"/>
          <w:numId w:val="17"/>
        </w:numPr>
        <w:spacing w:afterLines="10" w:after="43" w:line="260" w:lineRule="exact"/>
        <w:ind w:firstLineChars="0"/>
        <w:jc w:val="both"/>
        <w:rPr>
          <w:bCs/>
          <w:spacing w:val="-6"/>
          <w:sz w:val="24"/>
          <w:szCs w:val="28"/>
        </w:rPr>
      </w:pPr>
      <w:r w:rsidRPr="009A5740">
        <w:rPr>
          <w:rFonts w:hAnsi="標楷體"/>
          <w:bCs/>
          <w:spacing w:val="-6"/>
          <w:sz w:val="24"/>
          <w:szCs w:val="28"/>
        </w:rPr>
        <w:t>自由權：凡案件性質與人身自由、居住遷徙自由、表現</w:t>
      </w:r>
      <w:r w:rsidRPr="009A5740">
        <w:rPr>
          <w:rFonts w:hint="eastAsia"/>
          <w:bCs/>
          <w:spacing w:val="-6"/>
          <w:sz w:val="24"/>
          <w:szCs w:val="28"/>
        </w:rPr>
        <w:t>（</w:t>
      </w:r>
      <w:r w:rsidRPr="009A5740">
        <w:rPr>
          <w:rFonts w:hAnsi="標楷體"/>
          <w:bCs/>
          <w:spacing w:val="-6"/>
          <w:sz w:val="24"/>
          <w:szCs w:val="28"/>
        </w:rPr>
        <w:t>言論、講學、著作及出版</w:t>
      </w:r>
      <w:r w:rsidRPr="009A5740">
        <w:rPr>
          <w:rFonts w:hint="eastAsia"/>
          <w:bCs/>
          <w:spacing w:val="-6"/>
          <w:sz w:val="24"/>
          <w:szCs w:val="28"/>
        </w:rPr>
        <w:t>）</w:t>
      </w:r>
      <w:r w:rsidRPr="009A5740">
        <w:rPr>
          <w:rFonts w:hAnsi="標楷體"/>
          <w:bCs/>
          <w:spacing w:val="-6"/>
          <w:sz w:val="24"/>
          <w:szCs w:val="28"/>
        </w:rPr>
        <w:t>自由、傳播自由、秘密通訊自由、信仰宗教自由、集會結社自由、思想自由、契約自由、請願權及</w:t>
      </w:r>
      <w:r w:rsidRPr="009A5740">
        <w:rPr>
          <w:rFonts w:hAnsi="標楷體"/>
          <w:bCs/>
          <w:sz w:val="24"/>
          <w:szCs w:val="28"/>
        </w:rPr>
        <w:t>其他不妨害社會秩序或公共利益之自由及權利</w:t>
      </w:r>
      <w:r w:rsidRPr="009A5740">
        <w:rPr>
          <w:rFonts w:hAnsi="標楷體"/>
          <w:bCs/>
          <w:spacing w:val="-6"/>
          <w:sz w:val="24"/>
          <w:szCs w:val="28"/>
        </w:rPr>
        <w:t>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rPr>
      </w:pPr>
      <w:r w:rsidRPr="009A5740">
        <w:rPr>
          <w:rFonts w:hAnsi="標楷體"/>
          <w:bCs/>
          <w:spacing w:val="-6"/>
          <w:sz w:val="24"/>
          <w:szCs w:val="28"/>
        </w:rPr>
        <w:t>平等權：凡案件性質與性別、宗教、種族、膚色、階級、黨派、語言、政治或其他見解、國籍或社會出身、財產（貧富）或其他身分之平等有關者，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shd w:val="pct15" w:color="auto" w:fill="FFFFFF"/>
          <w:lang w:eastAsia="zh-HK"/>
        </w:rPr>
      </w:pPr>
      <w:r w:rsidRPr="009A5740">
        <w:rPr>
          <w:rFonts w:hAnsi="標楷體"/>
          <w:bCs/>
          <w:spacing w:val="-6"/>
          <w:sz w:val="24"/>
          <w:szCs w:val="28"/>
          <w:lang w:eastAsia="zh-HK"/>
        </w:rPr>
        <w:t>生存權：凡案件性質與人民的生命權（如涉及死刑、墮胎或安樂死、人身安全）、最低基本生活之維持（如社會救助）等有關者，</w:t>
      </w:r>
      <w:proofErr w:type="gramStart"/>
      <w:r w:rsidRPr="009A5740">
        <w:rPr>
          <w:rFonts w:hAnsi="標楷體"/>
          <w:bCs/>
          <w:spacing w:val="-6"/>
          <w:sz w:val="24"/>
          <w:szCs w:val="28"/>
          <w:lang w:eastAsia="zh-HK"/>
        </w:rPr>
        <w:t>均屬之</w:t>
      </w:r>
      <w:proofErr w:type="gramEnd"/>
      <w:r w:rsidRPr="009A5740">
        <w:rPr>
          <w:rFonts w:hAnsi="標楷體"/>
          <w:bCs/>
          <w:spacing w:val="-6"/>
          <w:sz w:val="24"/>
          <w:szCs w:val="28"/>
          <w:lang w:eastAsia="zh-HK"/>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rPr>
      </w:pPr>
      <w:r w:rsidRPr="009A5740">
        <w:rPr>
          <w:rFonts w:hAnsi="標楷體"/>
          <w:bCs/>
          <w:spacing w:val="-6"/>
          <w:sz w:val="24"/>
          <w:szCs w:val="28"/>
        </w:rPr>
        <w:t>免於酷刑權：凡案件性質與人民免於在肉體或精神上遭受劇烈疼痛或痛苦的任何酷刑等行為有關，且該等行為係由公職人員或以官方身分行使職權的其他人所造成或在其唆使、同意或默許下造成者，</w:t>
      </w:r>
      <w:proofErr w:type="gramStart"/>
      <w:r w:rsidRPr="009A5740">
        <w:rPr>
          <w:rFonts w:hAnsi="標楷體"/>
          <w:bCs/>
          <w:spacing w:val="-6"/>
          <w:sz w:val="24"/>
          <w:szCs w:val="28"/>
        </w:rPr>
        <w:t>均屬之</w:t>
      </w:r>
      <w:proofErr w:type="gramEnd"/>
      <w:r w:rsidRPr="009A5740">
        <w:rPr>
          <w:rFonts w:hAnsi="標楷體"/>
          <w:bCs/>
          <w:spacing w:val="-6"/>
          <w:sz w:val="24"/>
          <w:szCs w:val="28"/>
        </w:rPr>
        <w:t>（純粹因法律制裁而引起或法律制裁所固有或附帶的疼痛或痛苦不包括在內）。</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rPr>
      </w:pPr>
      <w:r w:rsidRPr="009A5740">
        <w:rPr>
          <w:rFonts w:hAnsi="標楷體"/>
          <w:bCs/>
          <w:spacing w:val="-6"/>
          <w:sz w:val="24"/>
          <w:szCs w:val="28"/>
        </w:rPr>
        <w:t>參政權：凡案件性質與人民參與國家政治體制運作</w:t>
      </w:r>
      <w:r w:rsidRPr="009A5740">
        <w:rPr>
          <w:rFonts w:hAnsi="標楷體" w:hint="eastAsia"/>
          <w:bCs/>
          <w:spacing w:val="-6"/>
          <w:sz w:val="24"/>
          <w:szCs w:val="28"/>
        </w:rPr>
        <w:t>（</w:t>
      </w:r>
      <w:r w:rsidRPr="009A5740">
        <w:rPr>
          <w:rFonts w:hAnsi="標楷體"/>
          <w:bCs/>
          <w:spacing w:val="-6"/>
          <w:sz w:val="24"/>
          <w:szCs w:val="28"/>
        </w:rPr>
        <w:t>選舉、罷免、創制、</w:t>
      </w:r>
      <w:proofErr w:type="gramStart"/>
      <w:r w:rsidRPr="009A5740">
        <w:rPr>
          <w:rFonts w:hAnsi="標楷體"/>
          <w:bCs/>
          <w:spacing w:val="-6"/>
          <w:sz w:val="24"/>
          <w:szCs w:val="28"/>
        </w:rPr>
        <w:t>複</w:t>
      </w:r>
      <w:proofErr w:type="gramEnd"/>
      <w:r w:rsidRPr="009A5740">
        <w:rPr>
          <w:rFonts w:hAnsi="標楷體"/>
          <w:bCs/>
          <w:spacing w:val="-6"/>
          <w:sz w:val="24"/>
          <w:szCs w:val="28"/>
        </w:rPr>
        <w:t>決、公民投票</w:t>
      </w:r>
      <w:r w:rsidRPr="009A5740">
        <w:rPr>
          <w:rFonts w:hAnsi="標楷體" w:hint="eastAsia"/>
          <w:bCs/>
          <w:spacing w:val="-6"/>
          <w:sz w:val="24"/>
          <w:szCs w:val="28"/>
        </w:rPr>
        <w:t>）</w:t>
      </w:r>
      <w:r w:rsidRPr="009A5740">
        <w:rPr>
          <w:rFonts w:hAnsi="標楷體"/>
          <w:bCs/>
          <w:spacing w:val="-6"/>
          <w:sz w:val="24"/>
          <w:szCs w:val="28"/>
        </w:rPr>
        <w:t>、公共事務、政治獻</w:t>
      </w:r>
      <w:proofErr w:type="gramStart"/>
      <w:r w:rsidRPr="009A5740">
        <w:rPr>
          <w:rFonts w:hAnsi="標楷體"/>
          <w:bCs/>
          <w:spacing w:val="-6"/>
          <w:sz w:val="24"/>
          <w:szCs w:val="28"/>
        </w:rPr>
        <w:t>金及服公職</w:t>
      </w:r>
      <w:proofErr w:type="gramEnd"/>
      <w:r w:rsidRPr="009A5740">
        <w:rPr>
          <w:rFonts w:hAnsi="標楷體"/>
          <w:bCs/>
          <w:spacing w:val="-6"/>
          <w:sz w:val="24"/>
          <w:szCs w:val="28"/>
        </w:rPr>
        <w:t>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rPr>
      </w:pPr>
      <w:r w:rsidRPr="009A5740">
        <w:rPr>
          <w:rFonts w:hAnsi="標楷體"/>
          <w:bCs/>
          <w:spacing w:val="-6"/>
          <w:sz w:val="24"/>
          <w:szCs w:val="28"/>
        </w:rPr>
        <w:t>司法正義：凡案件性質與司法檢調機關在警察調查、檢察官偵查、法官審判及監獄執行等階段之作為或</w:t>
      </w:r>
      <w:proofErr w:type="gramStart"/>
      <w:r w:rsidRPr="009A5740">
        <w:rPr>
          <w:rFonts w:hAnsi="標楷體"/>
          <w:bCs/>
          <w:spacing w:val="-6"/>
          <w:sz w:val="24"/>
          <w:szCs w:val="28"/>
        </w:rPr>
        <w:t>訴願權或</w:t>
      </w:r>
      <w:proofErr w:type="gramEnd"/>
      <w:r w:rsidRPr="009A5740">
        <w:rPr>
          <w:rFonts w:hAnsi="標楷體"/>
          <w:bCs/>
          <w:spacing w:val="-6"/>
          <w:sz w:val="24"/>
          <w:szCs w:val="28"/>
        </w:rPr>
        <w:t>訴訟權有關者，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lang w:eastAsia="zh-HK"/>
        </w:rPr>
      </w:pPr>
      <w:r w:rsidRPr="009A5740">
        <w:rPr>
          <w:rFonts w:hAnsi="標楷體" w:hint="eastAsia"/>
          <w:bCs/>
          <w:spacing w:val="-6"/>
          <w:sz w:val="24"/>
          <w:szCs w:val="28"/>
          <w:lang w:eastAsia="zh-HK"/>
        </w:rPr>
        <w:t>參與及表意權：凡案件性質與兒童及身心障礙者自由參加集會活動、參與社會及發表意見等權利有關者，</w:t>
      </w:r>
      <w:proofErr w:type="gramStart"/>
      <w:r w:rsidRPr="009A5740">
        <w:rPr>
          <w:rFonts w:hAnsi="標楷體" w:hint="eastAsia"/>
          <w:bCs/>
          <w:spacing w:val="-6"/>
          <w:sz w:val="24"/>
          <w:szCs w:val="28"/>
          <w:lang w:eastAsia="zh-HK"/>
        </w:rPr>
        <w:t>均屬之</w:t>
      </w:r>
      <w:proofErr w:type="gramEnd"/>
      <w:r w:rsidRPr="009A5740">
        <w:rPr>
          <w:rFonts w:hAnsi="標楷體" w:hint="eastAsia"/>
          <w:bCs/>
          <w:spacing w:val="-6"/>
          <w:sz w:val="24"/>
          <w:szCs w:val="28"/>
          <w:lang w:eastAsia="zh-HK"/>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lang w:eastAsia="zh-HK"/>
        </w:rPr>
      </w:pPr>
      <w:r w:rsidRPr="009A5740">
        <w:rPr>
          <w:rFonts w:hAnsi="標楷體"/>
          <w:bCs/>
          <w:spacing w:val="-6"/>
          <w:sz w:val="24"/>
          <w:szCs w:val="28"/>
          <w:lang w:eastAsia="zh-HK"/>
        </w:rPr>
        <w:t>健康權：凡案件性質影響人民健康與生命存續有關之制度及措施（如醫療、衛生、保健、法定傳染病之處置、公衛癌症篩檢</w:t>
      </w:r>
      <w:r w:rsidRPr="009A5740">
        <w:rPr>
          <w:rFonts w:hAnsi="標楷體" w:hint="eastAsia"/>
          <w:bCs/>
          <w:spacing w:val="-6"/>
          <w:sz w:val="24"/>
          <w:szCs w:val="28"/>
        </w:rPr>
        <w:t>、</w:t>
      </w:r>
      <w:r w:rsidRPr="009A5740">
        <w:rPr>
          <w:rFonts w:hAnsi="標楷體"/>
          <w:bCs/>
          <w:spacing w:val="-6"/>
          <w:sz w:val="24"/>
          <w:szCs w:val="28"/>
          <w:lang w:eastAsia="zh-HK"/>
        </w:rPr>
        <w:t>植物人</w:t>
      </w:r>
      <w:r w:rsidRPr="009A5740">
        <w:rPr>
          <w:rFonts w:hAnsi="標楷體" w:hint="eastAsia"/>
          <w:bCs/>
          <w:spacing w:val="-6"/>
          <w:sz w:val="24"/>
          <w:szCs w:val="28"/>
          <w:lang w:eastAsia="zh-HK"/>
        </w:rPr>
        <w:t>及</w:t>
      </w:r>
      <w:r w:rsidRPr="009A5740">
        <w:rPr>
          <w:rFonts w:hAnsi="標楷體"/>
          <w:bCs/>
          <w:spacing w:val="-6"/>
          <w:sz w:val="24"/>
          <w:szCs w:val="28"/>
          <w:lang w:eastAsia="zh-HK"/>
        </w:rPr>
        <w:t>身心障礙與失能者之醫療照護、食品安全）等有關者，</w:t>
      </w:r>
      <w:proofErr w:type="gramStart"/>
      <w:r w:rsidRPr="009A5740">
        <w:rPr>
          <w:rFonts w:hAnsi="標楷體"/>
          <w:bCs/>
          <w:spacing w:val="-6"/>
          <w:sz w:val="24"/>
          <w:szCs w:val="28"/>
          <w:lang w:eastAsia="zh-HK"/>
        </w:rPr>
        <w:t>均屬之</w:t>
      </w:r>
      <w:proofErr w:type="gramEnd"/>
      <w:r w:rsidRPr="009A5740">
        <w:rPr>
          <w:rFonts w:hAnsi="標楷體"/>
          <w:bCs/>
          <w:spacing w:val="-6"/>
          <w:sz w:val="24"/>
          <w:szCs w:val="28"/>
          <w:lang w:eastAsia="zh-HK"/>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rPr>
      </w:pPr>
      <w:r w:rsidRPr="009A5740">
        <w:rPr>
          <w:rFonts w:hAnsi="標楷體"/>
          <w:bCs/>
          <w:spacing w:val="-6"/>
          <w:sz w:val="24"/>
          <w:szCs w:val="28"/>
        </w:rPr>
        <w:t>工作權：凡案件性質與職業選擇、企業經營及工資、工時、休息、休假、勞動三權</w:t>
      </w:r>
      <w:r w:rsidRPr="009A5740">
        <w:rPr>
          <w:rFonts w:hAnsi="標楷體" w:hint="eastAsia"/>
          <w:bCs/>
          <w:spacing w:val="-6"/>
          <w:sz w:val="24"/>
          <w:szCs w:val="28"/>
        </w:rPr>
        <w:t>（</w:t>
      </w:r>
      <w:r w:rsidRPr="009A5740">
        <w:rPr>
          <w:rFonts w:hAnsi="標楷體"/>
          <w:bCs/>
          <w:spacing w:val="-6"/>
          <w:sz w:val="24"/>
          <w:szCs w:val="28"/>
        </w:rPr>
        <w:t>罷工、團結、集體交涉</w:t>
      </w:r>
      <w:r w:rsidRPr="009A5740">
        <w:rPr>
          <w:rFonts w:hAnsi="標楷體" w:hint="eastAsia"/>
          <w:bCs/>
          <w:spacing w:val="-6"/>
          <w:sz w:val="24"/>
          <w:szCs w:val="28"/>
        </w:rPr>
        <w:t>）</w:t>
      </w:r>
      <w:r w:rsidRPr="009A5740">
        <w:rPr>
          <w:rFonts w:hAnsi="標楷體"/>
          <w:bCs/>
          <w:spacing w:val="-6"/>
          <w:sz w:val="24"/>
          <w:szCs w:val="28"/>
        </w:rPr>
        <w:t>等勞動條件之最低標準的維持，以及與促進國民就業有關者，如就業輔導、職業訓練，</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rPr>
      </w:pPr>
      <w:r w:rsidRPr="009A5740">
        <w:rPr>
          <w:rFonts w:hAnsi="標楷體"/>
          <w:bCs/>
          <w:spacing w:val="-6"/>
          <w:sz w:val="24"/>
          <w:szCs w:val="28"/>
        </w:rPr>
        <w:t>財產權：凡案件性質與私有財產權制度以及債權、物權、</w:t>
      </w:r>
      <w:proofErr w:type="gramStart"/>
      <w:r w:rsidRPr="009A5740">
        <w:rPr>
          <w:rFonts w:hAnsi="標楷體"/>
          <w:bCs/>
          <w:spacing w:val="-6"/>
          <w:sz w:val="24"/>
          <w:szCs w:val="28"/>
        </w:rPr>
        <w:t>準</w:t>
      </w:r>
      <w:proofErr w:type="gramEnd"/>
      <w:r w:rsidRPr="009A5740">
        <w:rPr>
          <w:rFonts w:hAnsi="標楷體"/>
          <w:bCs/>
          <w:spacing w:val="-6"/>
          <w:sz w:val="24"/>
          <w:szCs w:val="28"/>
        </w:rPr>
        <w:t>物權及無體財產權有關者，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lang w:eastAsia="zh-HK"/>
        </w:rPr>
      </w:pPr>
      <w:r w:rsidRPr="009A5740">
        <w:rPr>
          <w:rFonts w:hAnsi="標楷體" w:hint="eastAsia"/>
          <w:bCs/>
          <w:spacing w:val="-6"/>
          <w:sz w:val="24"/>
          <w:szCs w:val="28"/>
          <w:lang w:eastAsia="zh-HK"/>
        </w:rPr>
        <w:t>居住權：</w:t>
      </w:r>
      <w:r w:rsidRPr="009A5740">
        <w:rPr>
          <w:rFonts w:hAnsi="標楷體"/>
          <w:bCs/>
          <w:spacing w:val="-6"/>
          <w:sz w:val="24"/>
          <w:szCs w:val="28"/>
          <w:lang w:eastAsia="zh-HK"/>
        </w:rPr>
        <w:t>凡案件性質與</w:t>
      </w:r>
      <w:r w:rsidRPr="009A5740">
        <w:rPr>
          <w:rFonts w:hAnsi="標楷體" w:hint="eastAsia"/>
          <w:bCs/>
          <w:spacing w:val="-6"/>
          <w:sz w:val="24"/>
          <w:szCs w:val="28"/>
          <w:lang w:eastAsia="zh-HK"/>
        </w:rPr>
        <w:t>安全、和平</w:t>
      </w:r>
      <w:r w:rsidRPr="009A5740">
        <w:rPr>
          <w:rFonts w:hAnsi="標楷體" w:hint="eastAsia"/>
          <w:bCs/>
          <w:spacing w:val="-6"/>
          <w:sz w:val="24"/>
          <w:szCs w:val="28"/>
        </w:rPr>
        <w:t>及</w:t>
      </w:r>
      <w:r w:rsidRPr="009A5740">
        <w:rPr>
          <w:rFonts w:hAnsi="標楷體" w:hint="eastAsia"/>
          <w:bCs/>
          <w:spacing w:val="-6"/>
          <w:sz w:val="24"/>
          <w:szCs w:val="28"/>
          <w:lang w:eastAsia="zh-HK"/>
        </w:rPr>
        <w:t>尊嚴地擁有適當住房之權利</w:t>
      </w:r>
      <w:r w:rsidRPr="009A5740">
        <w:rPr>
          <w:rFonts w:hAnsi="標楷體"/>
          <w:bCs/>
          <w:spacing w:val="-6"/>
          <w:sz w:val="24"/>
          <w:szCs w:val="28"/>
          <w:lang w:eastAsia="zh-HK"/>
        </w:rPr>
        <w:t>有關者，</w:t>
      </w:r>
      <w:proofErr w:type="gramStart"/>
      <w:r w:rsidRPr="009A5740">
        <w:rPr>
          <w:rFonts w:hAnsi="標楷體"/>
          <w:bCs/>
          <w:spacing w:val="-6"/>
          <w:sz w:val="24"/>
          <w:szCs w:val="28"/>
          <w:lang w:eastAsia="zh-HK"/>
        </w:rPr>
        <w:t>均屬之</w:t>
      </w:r>
      <w:proofErr w:type="gramEnd"/>
      <w:r w:rsidRPr="009A5740">
        <w:rPr>
          <w:rFonts w:hAnsi="標楷體"/>
          <w:bCs/>
          <w:spacing w:val="-6"/>
          <w:sz w:val="24"/>
          <w:szCs w:val="28"/>
          <w:lang w:eastAsia="zh-HK"/>
        </w:rPr>
        <w:t>。</w:t>
      </w:r>
    </w:p>
    <w:p w:rsidR="009A5740" w:rsidRPr="009A5740" w:rsidRDefault="009A5740" w:rsidP="009A5740">
      <w:pPr>
        <w:numPr>
          <w:ilvl w:val="0"/>
          <w:numId w:val="17"/>
        </w:numPr>
        <w:spacing w:afterLines="10" w:after="43" w:line="260" w:lineRule="exact"/>
        <w:ind w:left="993" w:firstLineChars="0" w:hanging="993"/>
        <w:jc w:val="both"/>
        <w:rPr>
          <w:rFonts w:hAnsi="標楷體"/>
          <w:bCs/>
          <w:spacing w:val="-6"/>
          <w:sz w:val="24"/>
          <w:szCs w:val="28"/>
        </w:rPr>
      </w:pPr>
      <w:r w:rsidRPr="009A5740">
        <w:rPr>
          <w:rFonts w:hAnsi="標楷體"/>
          <w:bCs/>
          <w:spacing w:val="-6"/>
          <w:sz w:val="24"/>
          <w:szCs w:val="28"/>
        </w:rPr>
        <w:t>文化權：凡案件與文化保存及維護、文化生活、獎勵科學技術之發明與創造、文學藝術、照顧文化工作者之生活有關者，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left="993" w:firstLineChars="0" w:hanging="993"/>
        <w:jc w:val="both"/>
        <w:rPr>
          <w:rFonts w:hAnsi="標楷體"/>
          <w:bCs/>
          <w:spacing w:val="-6"/>
          <w:sz w:val="24"/>
          <w:szCs w:val="28"/>
        </w:rPr>
      </w:pPr>
      <w:r w:rsidRPr="009A5740">
        <w:rPr>
          <w:rFonts w:hAnsi="標楷體"/>
          <w:bCs/>
          <w:spacing w:val="-6"/>
          <w:sz w:val="24"/>
          <w:szCs w:val="28"/>
        </w:rPr>
        <w:t>教育權：凡案件性質與基本教育、學生權益、人民教育參與及教育工作有關者，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left="993" w:firstLineChars="0" w:hanging="993"/>
        <w:jc w:val="both"/>
        <w:rPr>
          <w:rFonts w:hAnsi="標楷體"/>
          <w:bCs/>
          <w:spacing w:val="-6"/>
          <w:sz w:val="24"/>
          <w:szCs w:val="28"/>
        </w:rPr>
      </w:pPr>
      <w:r w:rsidRPr="009A5740">
        <w:rPr>
          <w:rFonts w:hAnsi="標楷體"/>
          <w:bCs/>
          <w:spacing w:val="-6"/>
          <w:sz w:val="24"/>
          <w:szCs w:val="28"/>
        </w:rPr>
        <w:t>環境權：凡案件性質與環境資源保護、環境資源施政及環境資源教育等生活環境品質有關者，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left="993" w:firstLineChars="0" w:hanging="993"/>
        <w:jc w:val="both"/>
        <w:rPr>
          <w:rFonts w:hAnsi="標楷體"/>
          <w:bCs/>
          <w:spacing w:val="-6"/>
          <w:sz w:val="24"/>
          <w:szCs w:val="28"/>
        </w:rPr>
      </w:pPr>
      <w:r w:rsidRPr="009A5740">
        <w:rPr>
          <w:rFonts w:hAnsi="標楷體"/>
          <w:bCs/>
          <w:spacing w:val="-6"/>
          <w:sz w:val="24"/>
          <w:szCs w:val="28"/>
        </w:rPr>
        <w:t>社會保障：凡案件性質與社會保險</w:t>
      </w:r>
      <w:r w:rsidRPr="009A5740">
        <w:rPr>
          <w:rFonts w:hAnsi="標楷體" w:hint="eastAsia"/>
          <w:bCs/>
          <w:spacing w:val="-6"/>
          <w:sz w:val="24"/>
          <w:szCs w:val="28"/>
        </w:rPr>
        <w:t>（</w:t>
      </w:r>
      <w:r w:rsidRPr="009A5740">
        <w:rPr>
          <w:rFonts w:hAnsi="標楷體"/>
          <w:bCs/>
          <w:spacing w:val="-6"/>
          <w:sz w:val="24"/>
          <w:szCs w:val="28"/>
        </w:rPr>
        <w:t>包括就業保險、國民年金保險、全民健保、勞工保險、農民保險、公教保險、軍人保險等</w:t>
      </w:r>
      <w:r w:rsidRPr="009A5740">
        <w:rPr>
          <w:rFonts w:hAnsi="標楷體" w:hint="eastAsia"/>
          <w:bCs/>
          <w:spacing w:val="-6"/>
          <w:sz w:val="24"/>
          <w:szCs w:val="28"/>
        </w:rPr>
        <w:t>）</w:t>
      </w:r>
      <w:r w:rsidRPr="009A5740">
        <w:rPr>
          <w:rFonts w:hAnsi="標楷體"/>
          <w:bCs/>
          <w:spacing w:val="-6"/>
          <w:sz w:val="24"/>
          <w:szCs w:val="28"/>
        </w:rPr>
        <w:t>、弱勢族群之保護、社會安全、社會福利、退休年金、失業津貼、職業災害補償等有關者，</w:t>
      </w:r>
      <w:proofErr w:type="gramStart"/>
      <w:r w:rsidRPr="009A5740">
        <w:rPr>
          <w:rFonts w:hAnsi="標楷體"/>
          <w:bCs/>
          <w:spacing w:val="-6"/>
          <w:sz w:val="24"/>
          <w:szCs w:val="28"/>
        </w:rPr>
        <w:t>均屬之</w:t>
      </w:r>
      <w:proofErr w:type="gramEnd"/>
      <w:r w:rsidRPr="009A5740">
        <w:rPr>
          <w:rFonts w:hAnsi="標楷體"/>
          <w:bCs/>
          <w:spacing w:val="-6"/>
          <w:sz w:val="24"/>
          <w:szCs w:val="28"/>
        </w:rPr>
        <w:t>。</w:t>
      </w:r>
    </w:p>
    <w:p w:rsidR="009A5740" w:rsidRPr="009A5740" w:rsidRDefault="009A5740" w:rsidP="009A5740">
      <w:pPr>
        <w:numPr>
          <w:ilvl w:val="0"/>
          <w:numId w:val="17"/>
        </w:numPr>
        <w:spacing w:afterLines="10" w:after="43" w:line="260" w:lineRule="exact"/>
        <w:ind w:firstLineChars="0"/>
        <w:jc w:val="both"/>
        <w:rPr>
          <w:rFonts w:hAnsi="標楷體"/>
          <w:bCs/>
          <w:spacing w:val="-6"/>
          <w:sz w:val="24"/>
          <w:szCs w:val="28"/>
        </w:rPr>
      </w:pPr>
      <w:r w:rsidRPr="009A5740">
        <w:rPr>
          <w:rFonts w:hAnsi="標楷體"/>
          <w:bCs/>
          <w:spacing w:val="-6"/>
          <w:sz w:val="24"/>
          <w:szCs w:val="28"/>
        </w:rPr>
        <w:t>其他人權：凡案件性質不屬以上各項者。</w:t>
      </w:r>
    </w:p>
    <w:p w:rsidR="006A6F22" w:rsidRPr="009A5740" w:rsidRDefault="009A5740" w:rsidP="009A5740">
      <w:pPr>
        <w:numPr>
          <w:ilvl w:val="0"/>
          <w:numId w:val="17"/>
        </w:numPr>
        <w:spacing w:afterLines="10" w:after="43" w:line="260" w:lineRule="exact"/>
        <w:ind w:firstLineChars="0"/>
        <w:jc w:val="both"/>
        <w:rPr>
          <w:rFonts w:hAnsi="標楷體"/>
          <w:bCs/>
          <w:spacing w:val="-6"/>
          <w:sz w:val="24"/>
          <w:szCs w:val="28"/>
        </w:rPr>
      </w:pPr>
      <w:r w:rsidRPr="009A5740">
        <w:rPr>
          <w:rFonts w:hAnsi="標楷體"/>
          <w:bCs/>
          <w:spacing w:val="-6"/>
          <w:sz w:val="24"/>
          <w:szCs w:val="28"/>
        </w:rPr>
        <w:t>非屬人權案件：凡案件不涉及人權保障者。</w:t>
      </w:r>
    </w:p>
    <w:p w:rsidR="00D76E5E" w:rsidRPr="00477922" w:rsidRDefault="003362BD" w:rsidP="00C47AA5">
      <w:pPr>
        <w:spacing w:beforeLines="50" w:before="217" w:afterLines="20" w:after="87" w:line="280" w:lineRule="exact"/>
        <w:ind w:left="805" w:rightChars="217" w:right="694" w:hanging="805"/>
        <w:jc w:val="both"/>
        <w:rPr>
          <w:b/>
          <w:bCs/>
          <w:spacing w:val="-6"/>
          <w:sz w:val="28"/>
        </w:rPr>
      </w:pPr>
      <w:r>
        <w:rPr>
          <w:rFonts w:hAnsi="標楷體"/>
          <w:b/>
          <w:bCs/>
          <w:spacing w:val="-6"/>
          <w:sz w:val="28"/>
        </w:rPr>
        <w:t>二、</w:t>
      </w:r>
      <w:r w:rsidR="00D76E5E" w:rsidRPr="00477922">
        <w:rPr>
          <w:rFonts w:hAnsi="標楷體"/>
          <w:b/>
          <w:bCs/>
          <w:spacing w:val="-6"/>
          <w:sz w:val="28"/>
        </w:rPr>
        <w:t>身分</w:t>
      </w:r>
      <w:r w:rsidR="00F26E59" w:rsidRPr="00477922">
        <w:rPr>
          <w:rFonts w:hAnsi="標楷體"/>
          <w:b/>
          <w:bCs/>
          <w:spacing w:val="-6"/>
          <w:sz w:val="28"/>
        </w:rPr>
        <w:t>別統計</w:t>
      </w:r>
      <w:r w:rsidR="00D76E5E" w:rsidRPr="00477922">
        <w:rPr>
          <w:rFonts w:hAnsi="標楷體"/>
          <w:b/>
          <w:bCs/>
          <w:spacing w:val="-6"/>
          <w:sz w:val="28"/>
        </w:rPr>
        <w:t>科</w:t>
      </w:r>
      <w:bookmarkStart w:id="0" w:name="_GoBack"/>
      <w:bookmarkEnd w:id="0"/>
      <w:r w:rsidR="00D76E5E" w:rsidRPr="00477922">
        <w:rPr>
          <w:rFonts w:hAnsi="標楷體"/>
          <w:b/>
          <w:bCs/>
          <w:spacing w:val="-6"/>
          <w:sz w:val="28"/>
        </w:rPr>
        <w:t>目定義</w:t>
      </w:r>
    </w:p>
    <w:p w:rsidR="002D231A" w:rsidRPr="005617BF" w:rsidRDefault="002D231A" w:rsidP="009A5740">
      <w:pPr>
        <w:numPr>
          <w:ilvl w:val="0"/>
          <w:numId w:val="18"/>
        </w:numPr>
        <w:spacing w:afterLines="10" w:after="43" w:line="260" w:lineRule="exact"/>
        <w:ind w:firstLineChars="0"/>
        <w:jc w:val="both"/>
        <w:rPr>
          <w:rFonts w:hAnsi="標楷體"/>
          <w:bCs/>
          <w:spacing w:val="-6"/>
          <w:sz w:val="24"/>
          <w:szCs w:val="28"/>
        </w:rPr>
      </w:pPr>
      <w:r w:rsidRPr="00477922">
        <w:rPr>
          <w:rFonts w:hAnsi="標楷體"/>
          <w:bCs/>
          <w:spacing w:val="-6"/>
          <w:sz w:val="24"/>
          <w:szCs w:val="28"/>
        </w:rPr>
        <w:t>婦女：</w:t>
      </w:r>
      <w:r w:rsidRPr="005617BF">
        <w:rPr>
          <w:rFonts w:hAnsi="標楷體"/>
          <w:bCs/>
          <w:spacing w:val="-6"/>
          <w:sz w:val="24"/>
          <w:szCs w:val="28"/>
        </w:rPr>
        <w:t>凡案件</w:t>
      </w:r>
      <w:r w:rsidR="00F26E59" w:rsidRPr="005617BF">
        <w:rPr>
          <w:rFonts w:hAnsi="標楷體"/>
          <w:bCs/>
          <w:spacing w:val="-6"/>
          <w:sz w:val="24"/>
          <w:szCs w:val="28"/>
        </w:rPr>
        <w:t>與</w:t>
      </w:r>
      <w:r w:rsidRPr="005617BF">
        <w:rPr>
          <w:rFonts w:hAnsi="標楷體"/>
          <w:bCs/>
          <w:spacing w:val="-6"/>
          <w:sz w:val="24"/>
          <w:szCs w:val="28"/>
        </w:rPr>
        <w:t>婦女一切形式歧視、健全發展、性別平等</w:t>
      </w:r>
      <w:r w:rsidR="00D76E5E" w:rsidRPr="005617BF">
        <w:rPr>
          <w:rFonts w:hAnsi="標楷體"/>
          <w:bCs/>
          <w:spacing w:val="-6"/>
          <w:sz w:val="24"/>
          <w:szCs w:val="28"/>
        </w:rPr>
        <w:t>權利促進及保障</w:t>
      </w:r>
      <w:r w:rsidRPr="005617BF">
        <w:rPr>
          <w:rFonts w:hAnsi="標楷體"/>
          <w:bCs/>
          <w:spacing w:val="-6"/>
          <w:sz w:val="24"/>
          <w:szCs w:val="28"/>
        </w:rPr>
        <w:t>等</w:t>
      </w:r>
      <w:r w:rsidR="00D76E5E" w:rsidRPr="005617BF">
        <w:rPr>
          <w:rFonts w:hAnsi="標楷體"/>
          <w:bCs/>
          <w:spacing w:val="-6"/>
          <w:sz w:val="24"/>
          <w:szCs w:val="28"/>
        </w:rPr>
        <w:t>有</w:t>
      </w:r>
      <w:r w:rsidRPr="005617BF">
        <w:rPr>
          <w:rFonts w:hAnsi="標楷體"/>
          <w:bCs/>
          <w:spacing w:val="-6"/>
          <w:sz w:val="24"/>
          <w:szCs w:val="28"/>
        </w:rPr>
        <w:t>關者，</w:t>
      </w:r>
      <w:proofErr w:type="gramStart"/>
      <w:r w:rsidRPr="005617BF">
        <w:rPr>
          <w:rFonts w:hAnsi="標楷體"/>
          <w:bCs/>
          <w:spacing w:val="-6"/>
          <w:sz w:val="24"/>
          <w:szCs w:val="28"/>
        </w:rPr>
        <w:t>均屬之</w:t>
      </w:r>
      <w:proofErr w:type="gramEnd"/>
      <w:r w:rsidRPr="005617BF">
        <w:rPr>
          <w:rFonts w:hAnsi="標楷體"/>
          <w:bCs/>
          <w:spacing w:val="-6"/>
          <w:sz w:val="24"/>
          <w:szCs w:val="28"/>
        </w:rPr>
        <w:t>。</w:t>
      </w:r>
    </w:p>
    <w:p w:rsidR="002D231A" w:rsidRPr="005617BF" w:rsidRDefault="00B52E37" w:rsidP="009A5740">
      <w:pPr>
        <w:numPr>
          <w:ilvl w:val="0"/>
          <w:numId w:val="18"/>
        </w:numPr>
        <w:spacing w:afterLines="10" w:after="43" w:line="260" w:lineRule="exact"/>
        <w:ind w:firstLineChars="0"/>
        <w:jc w:val="both"/>
        <w:rPr>
          <w:rFonts w:hAnsi="標楷體"/>
          <w:bCs/>
          <w:spacing w:val="-6"/>
          <w:sz w:val="24"/>
          <w:szCs w:val="28"/>
        </w:rPr>
      </w:pPr>
      <w:r>
        <w:rPr>
          <w:rFonts w:hAnsi="標楷體"/>
          <w:bCs/>
          <w:spacing w:val="-6"/>
          <w:sz w:val="24"/>
          <w:szCs w:val="28"/>
        </w:rPr>
        <w:t>兒童及少年</w:t>
      </w:r>
      <w:r w:rsidR="002D231A" w:rsidRPr="00477922">
        <w:rPr>
          <w:rFonts w:hAnsi="標楷體"/>
          <w:bCs/>
          <w:spacing w:val="-6"/>
          <w:sz w:val="24"/>
          <w:szCs w:val="28"/>
        </w:rPr>
        <w:t>：</w:t>
      </w:r>
      <w:r w:rsidR="002D231A" w:rsidRPr="005617BF">
        <w:rPr>
          <w:rFonts w:hAnsi="標楷體"/>
          <w:bCs/>
          <w:spacing w:val="-6"/>
          <w:sz w:val="24"/>
          <w:szCs w:val="28"/>
        </w:rPr>
        <w:t>凡案件</w:t>
      </w:r>
      <w:r w:rsidR="00F26E59" w:rsidRPr="005617BF">
        <w:rPr>
          <w:rFonts w:hAnsi="標楷體"/>
          <w:bCs/>
          <w:spacing w:val="-6"/>
          <w:sz w:val="24"/>
          <w:szCs w:val="28"/>
        </w:rPr>
        <w:t>與</w:t>
      </w:r>
      <w:r w:rsidR="002D231A" w:rsidRPr="005617BF">
        <w:rPr>
          <w:rFonts w:hAnsi="標楷體"/>
          <w:bCs/>
          <w:spacing w:val="-6"/>
          <w:sz w:val="24"/>
          <w:szCs w:val="28"/>
        </w:rPr>
        <w:t>十八歲以下兒童及少年身心發展</w:t>
      </w:r>
      <w:r w:rsidR="00D76E5E" w:rsidRPr="005617BF">
        <w:rPr>
          <w:rFonts w:hAnsi="標楷體"/>
          <w:bCs/>
          <w:spacing w:val="-6"/>
          <w:sz w:val="24"/>
          <w:szCs w:val="28"/>
        </w:rPr>
        <w:t>、權利促進及保障等有關者，</w:t>
      </w:r>
      <w:proofErr w:type="gramStart"/>
      <w:r w:rsidR="00CB7BF7" w:rsidRPr="005617BF">
        <w:rPr>
          <w:rFonts w:hAnsi="標楷體"/>
          <w:bCs/>
          <w:spacing w:val="-6"/>
          <w:sz w:val="24"/>
          <w:szCs w:val="28"/>
        </w:rPr>
        <w:t>均屬之</w:t>
      </w:r>
      <w:proofErr w:type="gramEnd"/>
      <w:r w:rsidR="00CB7BF7" w:rsidRPr="005617BF">
        <w:rPr>
          <w:rFonts w:hAnsi="標楷體"/>
          <w:bCs/>
          <w:spacing w:val="-6"/>
          <w:sz w:val="24"/>
          <w:szCs w:val="28"/>
        </w:rPr>
        <w:t>。</w:t>
      </w:r>
    </w:p>
    <w:p w:rsidR="002D231A" w:rsidRPr="005617BF" w:rsidRDefault="002D231A" w:rsidP="009A5740">
      <w:pPr>
        <w:numPr>
          <w:ilvl w:val="0"/>
          <w:numId w:val="18"/>
        </w:numPr>
        <w:spacing w:afterLines="10" w:after="43" w:line="260" w:lineRule="exact"/>
        <w:ind w:firstLineChars="0"/>
        <w:jc w:val="both"/>
        <w:rPr>
          <w:rFonts w:hAnsi="標楷體"/>
          <w:bCs/>
          <w:spacing w:val="-6"/>
          <w:sz w:val="24"/>
          <w:szCs w:val="28"/>
        </w:rPr>
      </w:pPr>
      <w:r w:rsidRPr="00477922">
        <w:rPr>
          <w:rFonts w:hAnsi="標楷體"/>
          <w:bCs/>
          <w:spacing w:val="-6"/>
          <w:sz w:val="24"/>
          <w:szCs w:val="28"/>
        </w:rPr>
        <w:t>身心障礙者：</w:t>
      </w:r>
      <w:r w:rsidRPr="005617BF">
        <w:rPr>
          <w:rFonts w:hAnsi="標楷體"/>
          <w:bCs/>
          <w:spacing w:val="-6"/>
          <w:sz w:val="24"/>
          <w:szCs w:val="28"/>
        </w:rPr>
        <w:t>凡案件</w:t>
      </w:r>
      <w:r w:rsidR="00F26E59" w:rsidRPr="005617BF">
        <w:rPr>
          <w:rFonts w:hAnsi="標楷體"/>
          <w:bCs/>
          <w:spacing w:val="-6"/>
          <w:sz w:val="24"/>
          <w:szCs w:val="28"/>
        </w:rPr>
        <w:t>與</w:t>
      </w:r>
      <w:r w:rsidR="00CB7BF7" w:rsidRPr="005617BF">
        <w:rPr>
          <w:rFonts w:hAnsi="標楷體"/>
          <w:bCs/>
          <w:spacing w:val="-6"/>
          <w:sz w:val="24"/>
          <w:szCs w:val="28"/>
        </w:rPr>
        <w:t>身心障礙者權利</w:t>
      </w:r>
      <w:r w:rsidR="00D76E5E" w:rsidRPr="005617BF">
        <w:rPr>
          <w:rFonts w:hAnsi="標楷體"/>
          <w:bCs/>
          <w:spacing w:val="-6"/>
          <w:sz w:val="24"/>
          <w:szCs w:val="28"/>
        </w:rPr>
        <w:t>促進及保障等有關者，</w:t>
      </w:r>
      <w:proofErr w:type="gramStart"/>
      <w:r w:rsidR="00CB7BF7" w:rsidRPr="005617BF">
        <w:rPr>
          <w:rFonts w:hAnsi="標楷體"/>
          <w:bCs/>
          <w:spacing w:val="-6"/>
          <w:sz w:val="24"/>
          <w:szCs w:val="28"/>
        </w:rPr>
        <w:t>均屬之</w:t>
      </w:r>
      <w:proofErr w:type="gramEnd"/>
      <w:r w:rsidR="00CB7BF7" w:rsidRPr="005617BF">
        <w:rPr>
          <w:rFonts w:hAnsi="標楷體"/>
          <w:bCs/>
          <w:spacing w:val="-6"/>
          <w:sz w:val="24"/>
          <w:szCs w:val="28"/>
        </w:rPr>
        <w:t>。</w:t>
      </w:r>
    </w:p>
    <w:p w:rsidR="00F83E96" w:rsidRPr="005617BF" w:rsidRDefault="00F83E96" w:rsidP="009A5740">
      <w:pPr>
        <w:numPr>
          <w:ilvl w:val="0"/>
          <w:numId w:val="18"/>
        </w:numPr>
        <w:spacing w:afterLines="10" w:after="43" w:line="260" w:lineRule="exact"/>
        <w:ind w:firstLineChars="0"/>
        <w:jc w:val="both"/>
        <w:rPr>
          <w:rFonts w:hAnsi="標楷體"/>
          <w:bCs/>
          <w:spacing w:val="-6"/>
          <w:sz w:val="24"/>
          <w:szCs w:val="28"/>
        </w:rPr>
      </w:pPr>
      <w:r w:rsidRPr="00477922">
        <w:rPr>
          <w:rFonts w:hAnsi="標楷體"/>
          <w:bCs/>
          <w:spacing w:val="-6"/>
          <w:sz w:val="24"/>
          <w:szCs w:val="28"/>
        </w:rPr>
        <w:t>老人</w:t>
      </w:r>
      <w:r w:rsidR="003F4D32" w:rsidRPr="00477922">
        <w:rPr>
          <w:rFonts w:hAnsi="標楷體"/>
          <w:bCs/>
          <w:spacing w:val="-6"/>
          <w:sz w:val="24"/>
          <w:szCs w:val="28"/>
        </w:rPr>
        <w:t>：</w:t>
      </w:r>
      <w:r w:rsidR="003F4D32" w:rsidRPr="005617BF">
        <w:rPr>
          <w:rFonts w:hAnsi="標楷體"/>
          <w:bCs/>
          <w:spacing w:val="-6"/>
          <w:sz w:val="24"/>
          <w:szCs w:val="28"/>
        </w:rPr>
        <w:t>凡案件</w:t>
      </w:r>
      <w:r w:rsidR="00F26E59" w:rsidRPr="005617BF">
        <w:rPr>
          <w:rFonts w:hAnsi="標楷體"/>
          <w:bCs/>
          <w:spacing w:val="-6"/>
          <w:sz w:val="24"/>
          <w:szCs w:val="28"/>
        </w:rPr>
        <w:t>與</w:t>
      </w:r>
      <w:r w:rsidR="003F4D32" w:rsidRPr="005617BF">
        <w:rPr>
          <w:rFonts w:hAnsi="標楷體"/>
          <w:bCs/>
          <w:spacing w:val="-6"/>
          <w:sz w:val="24"/>
          <w:szCs w:val="28"/>
        </w:rPr>
        <w:t>老人權利促進及保障等有關者，</w:t>
      </w:r>
      <w:proofErr w:type="gramStart"/>
      <w:r w:rsidR="003F4D32" w:rsidRPr="005617BF">
        <w:rPr>
          <w:rFonts w:hAnsi="標楷體"/>
          <w:bCs/>
          <w:spacing w:val="-6"/>
          <w:sz w:val="24"/>
          <w:szCs w:val="28"/>
        </w:rPr>
        <w:t>均屬之</w:t>
      </w:r>
      <w:proofErr w:type="gramEnd"/>
      <w:r w:rsidR="003F4D32" w:rsidRPr="005617BF">
        <w:rPr>
          <w:rFonts w:hAnsi="標楷體"/>
          <w:bCs/>
          <w:spacing w:val="-6"/>
          <w:sz w:val="24"/>
          <w:szCs w:val="28"/>
        </w:rPr>
        <w:t>。</w:t>
      </w:r>
    </w:p>
    <w:p w:rsidR="00F83E96" w:rsidRPr="005617BF" w:rsidRDefault="00F83E96" w:rsidP="009A5740">
      <w:pPr>
        <w:numPr>
          <w:ilvl w:val="0"/>
          <w:numId w:val="18"/>
        </w:numPr>
        <w:spacing w:afterLines="10" w:after="43" w:line="260" w:lineRule="exact"/>
        <w:ind w:firstLineChars="0"/>
        <w:jc w:val="both"/>
        <w:rPr>
          <w:rFonts w:hAnsi="標楷體"/>
          <w:bCs/>
          <w:spacing w:val="-6"/>
          <w:sz w:val="24"/>
          <w:szCs w:val="28"/>
        </w:rPr>
      </w:pPr>
      <w:r w:rsidRPr="00477922">
        <w:rPr>
          <w:rFonts w:hAnsi="標楷體"/>
          <w:bCs/>
          <w:spacing w:val="-6"/>
          <w:sz w:val="24"/>
          <w:szCs w:val="28"/>
        </w:rPr>
        <w:t>原住民</w:t>
      </w:r>
      <w:r w:rsidR="001446F1" w:rsidRPr="00477922">
        <w:rPr>
          <w:rFonts w:hAnsi="標楷體"/>
          <w:bCs/>
          <w:spacing w:val="-6"/>
          <w:sz w:val="24"/>
          <w:szCs w:val="28"/>
        </w:rPr>
        <w:t>族</w:t>
      </w:r>
      <w:r w:rsidR="003F4D32" w:rsidRPr="00477922">
        <w:rPr>
          <w:rFonts w:hAnsi="標楷體"/>
          <w:bCs/>
          <w:spacing w:val="-6"/>
          <w:sz w:val="24"/>
          <w:szCs w:val="28"/>
        </w:rPr>
        <w:t>：</w:t>
      </w:r>
      <w:r w:rsidR="003F4D32" w:rsidRPr="005617BF">
        <w:rPr>
          <w:rFonts w:hAnsi="標楷體"/>
          <w:bCs/>
          <w:spacing w:val="-6"/>
          <w:sz w:val="24"/>
          <w:szCs w:val="28"/>
        </w:rPr>
        <w:t>凡案件</w:t>
      </w:r>
      <w:r w:rsidR="00F26E59" w:rsidRPr="005617BF">
        <w:rPr>
          <w:rFonts w:hAnsi="標楷體"/>
          <w:bCs/>
          <w:spacing w:val="-6"/>
          <w:sz w:val="24"/>
          <w:szCs w:val="28"/>
        </w:rPr>
        <w:t>與</w:t>
      </w:r>
      <w:r w:rsidR="003F4D32" w:rsidRPr="005617BF">
        <w:rPr>
          <w:rFonts w:hAnsi="標楷體"/>
          <w:bCs/>
          <w:spacing w:val="-6"/>
          <w:sz w:val="24"/>
          <w:szCs w:val="28"/>
        </w:rPr>
        <w:t>原住民族權利促進及保障等有關者，</w:t>
      </w:r>
      <w:proofErr w:type="gramStart"/>
      <w:r w:rsidR="003F4D32" w:rsidRPr="005617BF">
        <w:rPr>
          <w:rFonts w:hAnsi="標楷體"/>
          <w:bCs/>
          <w:spacing w:val="-6"/>
          <w:sz w:val="24"/>
          <w:szCs w:val="28"/>
        </w:rPr>
        <w:t>均屬之</w:t>
      </w:r>
      <w:proofErr w:type="gramEnd"/>
      <w:r w:rsidR="003F4D32" w:rsidRPr="005617BF">
        <w:rPr>
          <w:rFonts w:hAnsi="標楷體"/>
          <w:bCs/>
          <w:spacing w:val="-6"/>
          <w:sz w:val="24"/>
          <w:szCs w:val="28"/>
        </w:rPr>
        <w:t>。</w:t>
      </w:r>
    </w:p>
    <w:p w:rsidR="00F83E96" w:rsidRPr="005617BF" w:rsidRDefault="00511221" w:rsidP="009A5740">
      <w:pPr>
        <w:numPr>
          <w:ilvl w:val="0"/>
          <w:numId w:val="18"/>
        </w:numPr>
        <w:spacing w:afterLines="10" w:after="43" w:line="260" w:lineRule="exact"/>
        <w:ind w:firstLineChars="0"/>
        <w:jc w:val="both"/>
        <w:rPr>
          <w:rFonts w:hAnsi="標楷體"/>
          <w:bCs/>
          <w:spacing w:val="-6"/>
          <w:sz w:val="24"/>
          <w:szCs w:val="28"/>
        </w:rPr>
      </w:pPr>
      <w:proofErr w:type="gramStart"/>
      <w:r w:rsidRPr="00477922">
        <w:rPr>
          <w:rFonts w:hAnsi="標楷體"/>
          <w:bCs/>
          <w:spacing w:val="-6"/>
          <w:sz w:val="24"/>
          <w:szCs w:val="28"/>
        </w:rPr>
        <w:t>移</w:t>
      </w:r>
      <w:r w:rsidR="00F83E96" w:rsidRPr="00477922">
        <w:rPr>
          <w:rFonts w:hAnsi="標楷體"/>
          <w:bCs/>
          <w:spacing w:val="-6"/>
          <w:sz w:val="24"/>
          <w:szCs w:val="28"/>
        </w:rPr>
        <w:t>工</w:t>
      </w:r>
      <w:proofErr w:type="gramEnd"/>
      <w:r w:rsidR="003F4D32" w:rsidRPr="00477922">
        <w:rPr>
          <w:rFonts w:hAnsi="標楷體"/>
          <w:bCs/>
          <w:spacing w:val="-6"/>
          <w:sz w:val="24"/>
          <w:szCs w:val="28"/>
        </w:rPr>
        <w:t>：</w:t>
      </w:r>
      <w:r w:rsidR="003F4D32" w:rsidRPr="005617BF">
        <w:rPr>
          <w:rFonts w:hAnsi="標楷體"/>
          <w:bCs/>
          <w:spacing w:val="-6"/>
          <w:sz w:val="24"/>
          <w:szCs w:val="28"/>
        </w:rPr>
        <w:t>凡案件</w:t>
      </w:r>
      <w:proofErr w:type="gramStart"/>
      <w:r w:rsidR="00F26E59" w:rsidRPr="005617BF">
        <w:rPr>
          <w:rFonts w:hAnsi="標楷體"/>
          <w:bCs/>
          <w:spacing w:val="-6"/>
          <w:sz w:val="24"/>
          <w:szCs w:val="28"/>
        </w:rPr>
        <w:t>與移</w:t>
      </w:r>
      <w:r w:rsidR="003F4D32" w:rsidRPr="005617BF">
        <w:rPr>
          <w:rFonts w:hAnsi="標楷體"/>
          <w:bCs/>
          <w:spacing w:val="-6"/>
          <w:sz w:val="24"/>
          <w:szCs w:val="28"/>
        </w:rPr>
        <w:t>工</w:t>
      </w:r>
      <w:proofErr w:type="gramEnd"/>
      <w:r w:rsidR="009605AE" w:rsidRPr="005617BF">
        <w:rPr>
          <w:rFonts w:hAnsi="標楷體"/>
          <w:bCs/>
          <w:spacing w:val="-6"/>
          <w:sz w:val="24"/>
          <w:szCs w:val="28"/>
        </w:rPr>
        <w:t>（</w:t>
      </w:r>
      <w:r w:rsidR="009605AE" w:rsidRPr="005617BF">
        <w:rPr>
          <w:rFonts w:hAnsi="標楷體"/>
          <w:bCs/>
          <w:spacing w:val="-6"/>
          <w:sz w:val="24"/>
          <w:szCs w:val="28"/>
        </w:rPr>
        <w:t>migrant worker</w:t>
      </w:r>
      <w:r w:rsidR="009605AE" w:rsidRPr="005617BF">
        <w:rPr>
          <w:rFonts w:hAnsi="標楷體"/>
          <w:bCs/>
          <w:spacing w:val="-6"/>
          <w:sz w:val="24"/>
          <w:szCs w:val="28"/>
        </w:rPr>
        <w:t>）</w:t>
      </w:r>
      <w:r w:rsidR="003F4D32" w:rsidRPr="005617BF">
        <w:rPr>
          <w:rFonts w:hAnsi="標楷體"/>
          <w:bCs/>
          <w:spacing w:val="-6"/>
          <w:sz w:val="24"/>
          <w:szCs w:val="28"/>
        </w:rPr>
        <w:t>權利促進及保障等有關者，</w:t>
      </w:r>
      <w:proofErr w:type="gramStart"/>
      <w:r w:rsidR="003F4D32" w:rsidRPr="005617BF">
        <w:rPr>
          <w:rFonts w:hAnsi="標楷體"/>
          <w:bCs/>
          <w:spacing w:val="-6"/>
          <w:sz w:val="24"/>
          <w:szCs w:val="28"/>
        </w:rPr>
        <w:t>均屬之</w:t>
      </w:r>
      <w:proofErr w:type="gramEnd"/>
      <w:r w:rsidR="003F4D32" w:rsidRPr="005617BF">
        <w:rPr>
          <w:rFonts w:hAnsi="標楷體"/>
          <w:bCs/>
          <w:spacing w:val="-6"/>
          <w:sz w:val="24"/>
          <w:szCs w:val="28"/>
        </w:rPr>
        <w:t>。</w:t>
      </w:r>
    </w:p>
    <w:p w:rsidR="00D76E5E" w:rsidRPr="005617BF" w:rsidRDefault="00D76E5E" w:rsidP="009A5740">
      <w:pPr>
        <w:numPr>
          <w:ilvl w:val="0"/>
          <w:numId w:val="18"/>
        </w:numPr>
        <w:spacing w:afterLines="10" w:after="43" w:line="260" w:lineRule="exact"/>
        <w:ind w:firstLineChars="0"/>
        <w:jc w:val="both"/>
        <w:rPr>
          <w:rFonts w:hAnsi="標楷體"/>
          <w:bCs/>
          <w:spacing w:val="-6"/>
          <w:sz w:val="24"/>
          <w:szCs w:val="28"/>
        </w:rPr>
      </w:pPr>
      <w:r w:rsidRPr="00477922">
        <w:rPr>
          <w:rFonts w:hAnsi="標楷體"/>
          <w:bCs/>
          <w:spacing w:val="-6"/>
          <w:sz w:val="24"/>
          <w:szCs w:val="28"/>
        </w:rPr>
        <w:t>其他身分者：凡案件不涉及以上各項</w:t>
      </w:r>
      <w:r w:rsidR="00F26E59" w:rsidRPr="00477922">
        <w:rPr>
          <w:rFonts w:hAnsi="標楷體"/>
          <w:bCs/>
          <w:spacing w:val="-6"/>
          <w:sz w:val="24"/>
          <w:szCs w:val="28"/>
        </w:rPr>
        <w:t>身分，惟與</w:t>
      </w:r>
      <w:r w:rsidR="00F83E96" w:rsidRPr="00477922">
        <w:rPr>
          <w:rFonts w:hAnsi="標楷體"/>
          <w:bCs/>
          <w:spacing w:val="-6"/>
          <w:sz w:val="24"/>
          <w:szCs w:val="28"/>
        </w:rPr>
        <w:t>其他</w:t>
      </w:r>
      <w:r w:rsidRPr="00477922">
        <w:rPr>
          <w:rFonts w:hAnsi="標楷體"/>
          <w:bCs/>
          <w:spacing w:val="-6"/>
          <w:sz w:val="24"/>
          <w:szCs w:val="28"/>
        </w:rPr>
        <w:t>特定</w:t>
      </w:r>
      <w:r w:rsidR="00F26E59" w:rsidRPr="00477922">
        <w:rPr>
          <w:rFonts w:hAnsi="標楷體"/>
          <w:bCs/>
          <w:spacing w:val="-6"/>
          <w:sz w:val="24"/>
          <w:szCs w:val="28"/>
        </w:rPr>
        <w:t>身分者之</w:t>
      </w:r>
      <w:r w:rsidRPr="00477922">
        <w:rPr>
          <w:rFonts w:hAnsi="標楷體"/>
          <w:bCs/>
          <w:spacing w:val="-6"/>
          <w:sz w:val="24"/>
          <w:szCs w:val="28"/>
        </w:rPr>
        <w:t>權利</w:t>
      </w:r>
      <w:r w:rsidR="00F83E96" w:rsidRPr="00477922">
        <w:rPr>
          <w:rFonts w:hAnsi="標楷體"/>
          <w:bCs/>
          <w:spacing w:val="-6"/>
          <w:sz w:val="24"/>
          <w:szCs w:val="28"/>
        </w:rPr>
        <w:t>促進及保障</w:t>
      </w:r>
      <w:r w:rsidR="00F26E59" w:rsidRPr="00477922">
        <w:rPr>
          <w:rFonts w:hAnsi="標楷體"/>
          <w:bCs/>
          <w:spacing w:val="-6"/>
          <w:sz w:val="24"/>
          <w:szCs w:val="28"/>
        </w:rPr>
        <w:t>等</w:t>
      </w:r>
      <w:r w:rsidRPr="00477922">
        <w:rPr>
          <w:rFonts w:hAnsi="標楷體"/>
          <w:bCs/>
          <w:spacing w:val="-6"/>
          <w:sz w:val="24"/>
          <w:szCs w:val="28"/>
        </w:rPr>
        <w:t>有關者。</w:t>
      </w:r>
    </w:p>
    <w:p w:rsidR="00F83E96" w:rsidRPr="005617BF" w:rsidRDefault="003F4D32" w:rsidP="009A5740">
      <w:pPr>
        <w:numPr>
          <w:ilvl w:val="0"/>
          <w:numId w:val="18"/>
        </w:numPr>
        <w:spacing w:afterLines="10" w:after="43" w:line="260" w:lineRule="exact"/>
        <w:ind w:firstLineChars="0"/>
        <w:jc w:val="both"/>
        <w:rPr>
          <w:rFonts w:hAnsi="標楷體"/>
          <w:bCs/>
          <w:spacing w:val="-6"/>
          <w:sz w:val="24"/>
          <w:szCs w:val="28"/>
        </w:rPr>
      </w:pPr>
      <w:r w:rsidRPr="00477922">
        <w:rPr>
          <w:rFonts w:hAnsi="標楷體"/>
          <w:bCs/>
          <w:spacing w:val="-6"/>
          <w:sz w:val="24"/>
          <w:szCs w:val="28"/>
        </w:rPr>
        <w:t>未涉及特定身分：</w:t>
      </w:r>
      <w:r w:rsidRPr="005617BF">
        <w:rPr>
          <w:rFonts w:hAnsi="標楷體"/>
          <w:bCs/>
          <w:spacing w:val="-6"/>
          <w:sz w:val="24"/>
          <w:szCs w:val="28"/>
        </w:rPr>
        <w:t>凡案件不涉及特定身分者。</w:t>
      </w:r>
    </w:p>
    <w:sectPr w:rsidR="00F83E96" w:rsidRPr="005617BF" w:rsidSect="00B74CA6">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284" w:footer="28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E6" w:rsidRDefault="00E015E6" w:rsidP="00662BCF">
      <w:pPr>
        <w:spacing w:line="240" w:lineRule="auto"/>
        <w:ind w:left="960" w:hanging="960"/>
      </w:pPr>
      <w:r>
        <w:separator/>
      </w:r>
    </w:p>
  </w:endnote>
  <w:endnote w:type="continuationSeparator" w:id="0">
    <w:p w:rsidR="00E015E6" w:rsidRDefault="00E015E6" w:rsidP="00662BCF">
      <w:pPr>
        <w:spacing w:line="240" w:lineRule="auto"/>
        <w:ind w:left="960" w:hanging="9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96" w:rsidRDefault="00F83E96" w:rsidP="00662BCF">
    <w:pPr>
      <w:pStyle w:val="a8"/>
      <w:ind w:left="600" w:hanging="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96" w:rsidRDefault="00F83E96" w:rsidP="003362BD">
    <w:pPr>
      <w:pStyle w:val="a8"/>
      <w:ind w:left="600" w:hanging="6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96" w:rsidRDefault="00F83E96" w:rsidP="00662BCF">
    <w:pPr>
      <w:pStyle w:val="a8"/>
      <w:ind w:left="600" w:hanging="6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E6" w:rsidRDefault="00E015E6" w:rsidP="00662BCF">
      <w:pPr>
        <w:spacing w:line="240" w:lineRule="auto"/>
        <w:ind w:left="960" w:hanging="960"/>
      </w:pPr>
      <w:r>
        <w:separator/>
      </w:r>
    </w:p>
  </w:footnote>
  <w:footnote w:type="continuationSeparator" w:id="0">
    <w:p w:rsidR="00E015E6" w:rsidRDefault="00E015E6" w:rsidP="00662BCF">
      <w:pPr>
        <w:spacing w:line="240" w:lineRule="auto"/>
        <w:ind w:left="960" w:hanging="9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96" w:rsidRDefault="00F83E96" w:rsidP="00662BCF">
    <w:pPr>
      <w:pStyle w:val="a6"/>
      <w:ind w:left="600" w:hanging="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96" w:rsidRPr="00C47610" w:rsidRDefault="00F83E96" w:rsidP="00C47610">
    <w:pPr>
      <w:pStyle w:val="a6"/>
      <w:ind w:hangingChars="1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96" w:rsidRDefault="00F83E96" w:rsidP="00662BCF">
    <w:pPr>
      <w:pStyle w:val="a6"/>
      <w:ind w:left="600" w:hanging="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54556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FFFFFFFB"/>
    <w:multiLevelType w:val="multilevel"/>
    <w:tmpl w:val="2534A5C8"/>
    <w:lvl w:ilvl="0">
      <w:start w:val="1"/>
      <w:numFmt w:val="taiwaneseCountingThousand"/>
      <w:lvlText w:val="%1、"/>
      <w:lvlJc w:val="left"/>
      <w:pPr>
        <w:tabs>
          <w:tab w:val="num" w:pos="1304"/>
        </w:tabs>
        <w:ind w:left="1304" w:hanging="1304"/>
      </w:pPr>
      <w:rPr>
        <w:rFonts w:ascii="標楷體" w:eastAsia="標楷體" w:hint="eastAsia"/>
        <w:b w:val="0"/>
        <w:i w:val="0"/>
        <w:sz w:val="32"/>
      </w:rPr>
    </w:lvl>
    <w:lvl w:ilvl="1">
      <w:start w:val="1"/>
      <w:numFmt w:val="none"/>
      <w:lvlText w:val="%2"/>
      <w:lvlJc w:val="left"/>
      <w:pPr>
        <w:tabs>
          <w:tab w:val="num" w:pos="850"/>
        </w:tabs>
        <w:ind w:left="850" w:hanging="425"/>
      </w:pPr>
      <w:rPr>
        <w:rFonts w:ascii="新細明體" w:eastAsia="新細明體" w:hint="eastAsia"/>
        <w:b/>
        <w:i w:val="0"/>
        <w:sz w:val="28"/>
      </w:rPr>
    </w:lvl>
    <w:lvl w:ilvl="2">
      <w:start w:val="1"/>
      <w:numFmt w:val="taiwaneseCountingThousand"/>
      <w:pStyle w:val="3"/>
      <w:lvlText w:val="(%3)"/>
      <w:lvlJc w:val="left"/>
      <w:pPr>
        <w:tabs>
          <w:tab w:val="num" w:pos="1275"/>
        </w:tabs>
        <w:ind w:left="1275" w:hanging="425"/>
      </w:pPr>
      <w:rPr>
        <w:rFonts w:ascii="新細明體" w:eastAsia="新細明體" w:hint="eastAsia"/>
        <w:b/>
        <w:i w:val="0"/>
        <w:sz w:val="28"/>
      </w:rPr>
    </w:lvl>
    <w:lvl w:ilvl="3">
      <w:start w:val="1"/>
      <w:numFmt w:val="decimal"/>
      <w:lvlText w:val="%4."/>
      <w:lvlJc w:val="left"/>
      <w:pPr>
        <w:tabs>
          <w:tab w:val="num" w:pos="0"/>
        </w:tabs>
        <w:ind w:left="1559" w:hanging="284"/>
      </w:pPr>
      <w:rPr>
        <w:rFonts w:ascii="標楷體" w:eastAsia="標楷體" w:hint="eastAsia"/>
        <w:b w:val="0"/>
        <w:i w:val="0"/>
        <w:sz w:val="24"/>
      </w:rPr>
    </w:lvl>
    <w:lvl w:ilvl="4">
      <w:start w:val="1"/>
      <w:numFmt w:val="decimal"/>
      <w:lvlText w:val="(%5)"/>
      <w:lvlJc w:val="left"/>
      <w:pPr>
        <w:tabs>
          <w:tab w:val="num" w:pos="0"/>
        </w:tabs>
        <w:ind w:left="1843" w:hanging="284"/>
      </w:pPr>
      <w:rPr>
        <w:rFonts w:ascii="標楷體" w:eastAsia="標楷體" w:hint="eastAsia"/>
        <w:b w:val="0"/>
        <w:i w:val="0"/>
        <w:sz w:val="24"/>
      </w:rPr>
    </w:lvl>
    <w:lvl w:ilvl="5">
      <w:start w:val="1"/>
      <w:numFmt w:val="lowerLetter"/>
      <w:lvlText w:val="(%6)"/>
      <w:lvlJc w:val="left"/>
      <w:pPr>
        <w:tabs>
          <w:tab w:val="num" w:pos="0"/>
        </w:tabs>
        <w:ind w:left="2268" w:hanging="425"/>
      </w:pPr>
      <w:rPr>
        <w:rFonts w:hint="eastAsia"/>
      </w:rPr>
    </w:lvl>
    <w:lvl w:ilvl="6">
      <w:start w:val="1"/>
      <w:numFmt w:val="lowerRoman"/>
      <w:lvlText w:val="(%7)"/>
      <w:lvlJc w:val="left"/>
      <w:pPr>
        <w:tabs>
          <w:tab w:val="num" w:pos="0"/>
        </w:tabs>
        <w:ind w:left="2693" w:hanging="425"/>
      </w:pPr>
      <w:rPr>
        <w:rFonts w:hint="eastAsia"/>
      </w:rPr>
    </w:lvl>
    <w:lvl w:ilvl="7">
      <w:start w:val="1"/>
      <w:numFmt w:val="lowerLetter"/>
      <w:lvlText w:val="(%8)"/>
      <w:lvlJc w:val="left"/>
      <w:pPr>
        <w:tabs>
          <w:tab w:val="num" w:pos="0"/>
        </w:tabs>
        <w:ind w:left="3118" w:hanging="425"/>
      </w:pPr>
      <w:rPr>
        <w:rFonts w:hint="eastAsia"/>
      </w:rPr>
    </w:lvl>
    <w:lvl w:ilvl="8">
      <w:start w:val="1"/>
      <w:numFmt w:val="lowerRoman"/>
      <w:lvlText w:val="(%9)"/>
      <w:lvlJc w:val="left"/>
      <w:pPr>
        <w:tabs>
          <w:tab w:val="num" w:pos="0"/>
        </w:tabs>
        <w:ind w:left="3543" w:hanging="425"/>
      </w:pPr>
      <w:rPr>
        <w:rFonts w:hint="eastAsia"/>
      </w:rPr>
    </w:lvl>
  </w:abstractNum>
  <w:abstractNum w:abstractNumId="2" w15:restartNumberingAfterBreak="0">
    <w:nsid w:val="293E5EFF"/>
    <w:multiLevelType w:val="multilevel"/>
    <w:tmpl w:val="1A408FF4"/>
    <w:lvl w:ilvl="0">
      <w:start w:val="1"/>
      <w:numFmt w:val="taiwaneseCountingThousand"/>
      <w:pStyle w:val="1"/>
      <w:lvlText w:val="%1、"/>
      <w:lvlJc w:val="left"/>
      <w:pPr>
        <w:tabs>
          <w:tab w:val="num" w:pos="1304"/>
        </w:tabs>
        <w:ind w:left="1304" w:hanging="1304"/>
      </w:pPr>
      <w:rPr>
        <w:rFonts w:ascii="Times New Roman" w:eastAsia="標楷體" w:hAnsi="Times New Roman" w:hint="default"/>
        <w:b w:val="0"/>
        <w:i w:val="0"/>
        <w:sz w:val="32"/>
      </w:rPr>
    </w:lvl>
    <w:lvl w:ilvl="1">
      <w:start w:val="1"/>
      <w:numFmt w:val="taiwaneseCountingThousand"/>
      <w:lvlText w:val="%2、"/>
      <w:lvlJc w:val="left"/>
      <w:pPr>
        <w:tabs>
          <w:tab w:val="num" w:pos="1304"/>
        </w:tabs>
        <w:ind w:left="1304" w:hanging="1304"/>
      </w:pPr>
      <w:rPr>
        <w:rFonts w:ascii="Times New Roman" w:eastAsia="標楷體" w:hAnsi="Times New Roman" w:hint="default"/>
        <w:b w:val="0"/>
        <w:i w:val="0"/>
        <w:sz w:val="32"/>
      </w:rPr>
    </w:lvl>
    <w:lvl w:ilvl="2">
      <w:start w:val="1"/>
      <w:numFmt w:val="taiwaneseCountingThousand"/>
      <w:lvlText w:val="(%3)"/>
      <w:lvlJc w:val="left"/>
      <w:pPr>
        <w:tabs>
          <w:tab w:val="num" w:pos="1275"/>
        </w:tabs>
        <w:ind w:left="1275" w:hanging="425"/>
      </w:pPr>
      <w:rPr>
        <w:rFonts w:ascii="新細明體" w:eastAsia="新細明體" w:hint="eastAsia"/>
        <w:b/>
        <w:i w:val="0"/>
        <w:sz w:val="28"/>
      </w:rPr>
    </w:lvl>
    <w:lvl w:ilvl="3">
      <w:start w:val="1"/>
      <w:numFmt w:val="decimal"/>
      <w:lvlText w:val="%4."/>
      <w:lvlJc w:val="left"/>
      <w:pPr>
        <w:tabs>
          <w:tab w:val="num" w:pos="0"/>
        </w:tabs>
        <w:ind w:left="1559" w:hanging="284"/>
      </w:pPr>
      <w:rPr>
        <w:rFonts w:ascii="標楷體" w:eastAsia="標楷體" w:hint="eastAsia"/>
        <w:b w:val="0"/>
        <w:i w:val="0"/>
        <w:sz w:val="24"/>
      </w:rPr>
    </w:lvl>
    <w:lvl w:ilvl="4">
      <w:start w:val="1"/>
      <w:numFmt w:val="decimal"/>
      <w:lvlText w:val="(%5)"/>
      <w:lvlJc w:val="left"/>
      <w:pPr>
        <w:tabs>
          <w:tab w:val="num" w:pos="0"/>
        </w:tabs>
        <w:ind w:left="1843" w:hanging="284"/>
      </w:pPr>
      <w:rPr>
        <w:rFonts w:ascii="標楷體" w:eastAsia="標楷體" w:hint="eastAsia"/>
        <w:b w:val="0"/>
        <w:i w:val="0"/>
        <w:sz w:val="24"/>
      </w:rPr>
    </w:lvl>
    <w:lvl w:ilvl="5">
      <w:start w:val="1"/>
      <w:numFmt w:val="lowerLetter"/>
      <w:lvlText w:val="(%6)"/>
      <w:lvlJc w:val="left"/>
      <w:pPr>
        <w:tabs>
          <w:tab w:val="num" w:pos="0"/>
        </w:tabs>
        <w:ind w:left="2268" w:hanging="425"/>
      </w:pPr>
      <w:rPr>
        <w:rFonts w:hint="eastAsia"/>
      </w:rPr>
    </w:lvl>
    <w:lvl w:ilvl="6">
      <w:start w:val="1"/>
      <w:numFmt w:val="lowerRoman"/>
      <w:lvlText w:val="(%7)"/>
      <w:lvlJc w:val="left"/>
      <w:pPr>
        <w:tabs>
          <w:tab w:val="num" w:pos="0"/>
        </w:tabs>
        <w:ind w:left="2693" w:hanging="425"/>
      </w:pPr>
      <w:rPr>
        <w:rFonts w:hint="eastAsia"/>
      </w:rPr>
    </w:lvl>
    <w:lvl w:ilvl="7">
      <w:start w:val="1"/>
      <w:numFmt w:val="lowerLetter"/>
      <w:lvlText w:val="(%8)"/>
      <w:lvlJc w:val="left"/>
      <w:pPr>
        <w:tabs>
          <w:tab w:val="num" w:pos="0"/>
        </w:tabs>
        <w:ind w:left="3118" w:hanging="425"/>
      </w:pPr>
      <w:rPr>
        <w:rFonts w:hint="eastAsia"/>
      </w:rPr>
    </w:lvl>
    <w:lvl w:ilvl="8">
      <w:start w:val="1"/>
      <w:numFmt w:val="lowerRoman"/>
      <w:lvlText w:val="(%9)"/>
      <w:lvlJc w:val="left"/>
      <w:pPr>
        <w:tabs>
          <w:tab w:val="num" w:pos="0"/>
        </w:tabs>
        <w:ind w:left="3543" w:hanging="425"/>
      </w:pPr>
      <w:rPr>
        <w:rFonts w:hint="eastAsia"/>
      </w:rPr>
    </w:lvl>
  </w:abstractNum>
  <w:abstractNum w:abstractNumId="3" w15:restartNumberingAfterBreak="0">
    <w:nsid w:val="3D6F050F"/>
    <w:multiLevelType w:val="singleLevel"/>
    <w:tmpl w:val="2D56C778"/>
    <w:lvl w:ilvl="0">
      <w:start w:val="1"/>
      <w:numFmt w:val="bullet"/>
      <w:lvlText w:val=""/>
      <w:lvlJc w:val="left"/>
      <w:pPr>
        <w:tabs>
          <w:tab w:val="num" w:pos="360"/>
        </w:tabs>
        <w:ind w:left="340" w:hanging="340"/>
      </w:pPr>
      <w:rPr>
        <w:rFonts w:ascii="Wingdings" w:hAnsi="Wingdings" w:hint="default"/>
        <w:sz w:val="20"/>
      </w:rPr>
    </w:lvl>
  </w:abstractNum>
  <w:abstractNum w:abstractNumId="4" w15:restartNumberingAfterBreak="0">
    <w:nsid w:val="3F86329C"/>
    <w:multiLevelType w:val="hybridMultilevel"/>
    <w:tmpl w:val="AD8C8344"/>
    <w:lvl w:ilvl="0" w:tplc="F7D67D20">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E373C6"/>
    <w:multiLevelType w:val="multilevel"/>
    <w:tmpl w:val="5A829972"/>
    <w:lvl w:ilvl="0">
      <w:start w:val="1"/>
      <w:numFmt w:val="ideographLegalTraditional"/>
      <w:suff w:val="nothing"/>
      <w:lvlText w:val="%1．"/>
      <w:lvlJc w:val="left"/>
      <w:pPr>
        <w:ind w:left="425" w:hanging="425"/>
      </w:pPr>
      <w:rPr>
        <w:rFonts w:eastAsia="標楷體" w:hint="eastAsia"/>
        <w:b/>
        <w:i w:val="0"/>
        <w:color w:val="auto"/>
        <w:sz w:val="36"/>
        <w:u w:val="none"/>
      </w:rPr>
    </w:lvl>
    <w:lvl w:ilvl="1">
      <w:start w:val="1"/>
      <w:numFmt w:val="taiwaneseCountingThousand"/>
      <w:suff w:val="nothing"/>
      <w:lvlText w:val="%2、"/>
      <w:lvlJc w:val="left"/>
      <w:pPr>
        <w:ind w:left="1928" w:hanging="1928"/>
      </w:pPr>
      <w:rPr>
        <w:rFonts w:ascii="Times New Roman" w:eastAsia="標楷體" w:hAnsi="Times New Roman" w:hint="default"/>
        <w:b/>
        <w:i w:val="0"/>
        <w:sz w:val="32"/>
      </w:rPr>
    </w:lvl>
    <w:lvl w:ilvl="2">
      <w:start w:val="1"/>
      <w:numFmt w:val="taiwaneseCountingThousand"/>
      <w:suff w:val="nothing"/>
      <w:lvlText w:val="(%3)"/>
      <w:lvlJc w:val="left"/>
      <w:pPr>
        <w:ind w:left="2438" w:hanging="1814"/>
      </w:pPr>
      <w:rPr>
        <w:rFonts w:ascii="Times New Roman" w:eastAsia="標楷體" w:hAnsi="Times New Roman" w:hint="default"/>
        <w:b/>
        <w:i w:val="0"/>
        <w:sz w:val="28"/>
      </w:rPr>
    </w:lvl>
    <w:lvl w:ilvl="3">
      <w:start w:val="1"/>
      <w:numFmt w:val="decimal"/>
      <w:pStyle w:val="4"/>
      <w:suff w:val="nothing"/>
      <w:lvlText w:val="%4、"/>
      <w:lvlJc w:val="left"/>
      <w:pPr>
        <w:ind w:left="3345" w:hanging="1020"/>
      </w:pPr>
      <w:rPr>
        <w:rFonts w:eastAsia="標楷體" w:hint="eastAsia"/>
        <w:b w:val="0"/>
        <w:i w:val="0"/>
        <w:sz w:val="24"/>
      </w:rPr>
    </w:lvl>
    <w:lvl w:ilvl="4">
      <w:start w:val="1"/>
      <w:numFmt w:val="bullet"/>
      <w:pStyle w:val="5"/>
      <w:suff w:val="nothing"/>
      <w:lvlText w:val=""/>
      <w:lvlJc w:val="left"/>
      <w:pPr>
        <w:ind w:left="2495" w:hanging="1248"/>
      </w:pPr>
      <w:rPr>
        <w:rFonts w:ascii="Wingdings" w:hAnsi="Wingdings" w:hint="default"/>
        <w:sz w:val="24"/>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6" w15:restartNumberingAfterBreak="0">
    <w:nsid w:val="4C9B171F"/>
    <w:multiLevelType w:val="hybridMultilevel"/>
    <w:tmpl w:val="63BCB1B8"/>
    <w:lvl w:ilvl="0" w:tplc="6AA48B64">
      <w:start w:val="1"/>
      <w:numFmt w:val="taiwaneseCountingThousand"/>
      <w:lvlText w:val="%1、"/>
      <w:lvlJc w:val="center"/>
      <w:pPr>
        <w:tabs>
          <w:tab w:val="num" w:pos="587"/>
        </w:tabs>
        <w:ind w:left="397" w:hanging="1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6010A96"/>
    <w:multiLevelType w:val="hybridMultilevel"/>
    <w:tmpl w:val="A6E060B6"/>
    <w:lvl w:ilvl="0" w:tplc="8AFC7C0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5"/>
  </w:num>
  <w:num w:numId="3">
    <w:abstractNumId w:val="0"/>
  </w:num>
  <w:num w:numId="4">
    <w:abstractNumId w:val="3"/>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1"/>
  </w:num>
  <w:num w:numId="14">
    <w:abstractNumId w:val="1"/>
  </w:num>
  <w:num w:numId="15">
    <w:abstractNumId w:val="6"/>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2"/>
  <w:drawingGridHorizontalSpacing w:val="160"/>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CF"/>
    <w:rsid w:val="000268B6"/>
    <w:rsid w:val="00045127"/>
    <w:rsid w:val="00054490"/>
    <w:rsid w:val="00076253"/>
    <w:rsid w:val="00087AC6"/>
    <w:rsid w:val="000B29B9"/>
    <w:rsid w:val="000C75FB"/>
    <w:rsid w:val="000D3EB1"/>
    <w:rsid w:val="000E5567"/>
    <w:rsid w:val="000E7D7C"/>
    <w:rsid w:val="00111A75"/>
    <w:rsid w:val="00126485"/>
    <w:rsid w:val="00130D53"/>
    <w:rsid w:val="001446F1"/>
    <w:rsid w:val="00151477"/>
    <w:rsid w:val="0015684B"/>
    <w:rsid w:val="00180A31"/>
    <w:rsid w:val="00203F03"/>
    <w:rsid w:val="00230AB7"/>
    <w:rsid w:val="00241CBF"/>
    <w:rsid w:val="0024239F"/>
    <w:rsid w:val="00266B1B"/>
    <w:rsid w:val="002855B8"/>
    <w:rsid w:val="00285DAC"/>
    <w:rsid w:val="00290B05"/>
    <w:rsid w:val="002A39FB"/>
    <w:rsid w:val="002C49B2"/>
    <w:rsid w:val="002D231A"/>
    <w:rsid w:val="002E2258"/>
    <w:rsid w:val="002E5E32"/>
    <w:rsid w:val="003362BD"/>
    <w:rsid w:val="00375F08"/>
    <w:rsid w:val="00381D11"/>
    <w:rsid w:val="00392897"/>
    <w:rsid w:val="003A3E7D"/>
    <w:rsid w:val="003B0CCF"/>
    <w:rsid w:val="003C0D91"/>
    <w:rsid w:val="003D6AC7"/>
    <w:rsid w:val="003D75AC"/>
    <w:rsid w:val="003F27DB"/>
    <w:rsid w:val="003F4D32"/>
    <w:rsid w:val="00416D1F"/>
    <w:rsid w:val="00434104"/>
    <w:rsid w:val="004649D4"/>
    <w:rsid w:val="00465833"/>
    <w:rsid w:val="00477922"/>
    <w:rsid w:val="004817A2"/>
    <w:rsid w:val="00487E13"/>
    <w:rsid w:val="00490AF1"/>
    <w:rsid w:val="004A108A"/>
    <w:rsid w:val="004A21C9"/>
    <w:rsid w:val="004C5E16"/>
    <w:rsid w:val="004D1157"/>
    <w:rsid w:val="004E2611"/>
    <w:rsid w:val="004F58FC"/>
    <w:rsid w:val="00511221"/>
    <w:rsid w:val="0051269A"/>
    <w:rsid w:val="00513E39"/>
    <w:rsid w:val="00522D76"/>
    <w:rsid w:val="005276BA"/>
    <w:rsid w:val="005617BF"/>
    <w:rsid w:val="005930C9"/>
    <w:rsid w:val="005B34DE"/>
    <w:rsid w:val="005D5C3E"/>
    <w:rsid w:val="0060324A"/>
    <w:rsid w:val="00612064"/>
    <w:rsid w:val="00621D06"/>
    <w:rsid w:val="006529B1"/>
    <w:rsid w:val="00662BCF"/>
    <w:rsid w:val="006A6F22"/>
    <w:rsid w:val="006B143E"/>
    <w:rsid w:val="006B71F5"/>
    <w:rsid w:val="006C57E4"/>
    <w:rsid w:val="006D42BD"/>
    <w:rsid w:val="006F605B"/>
    <w:rsid w:val="007262AA"/>
    <w:rsid w:val="007714A3"/>
    <w:rsid w:val="007734D4"/>
    <w:rsid w:val="007A7288"/>
    <w:rsid w:val="007C6A0B"/>
    <w:rsid w:val="00821FE3"/>
    <w:rsid w:val="00823D35"/>
    <w:rsid w:val="00831D04"/>
    <w:rsid w:val="00850E98"/>
    <w:rsid w:val="00873CA7"/>
    <w:rsid w:val="00877E31"/>
    <w:rsid w:val="008C12AA"/>
    <w:rsid w:val="008E0C9B"/>
    <w:rsid w:val="009306F6"/>
    <w:rsid w:val="0094494F"/>
    <w:rsid w:val="00953727"/>
    <w:rsid w:val="009605AE"/>
    <w:rsid w:val="009856FB"/>
    <w:rsid w:val="009A5740"/>
    <w:rsid w:val="009B15D1"/>
    <w:rsid w:val="009B1E9D"/>
    <w:rsid w:val="009E3411"/>
    <w:rsid w:val="00A10FF7"/>
    <w:rsid w:val="00A26B02"/>
    <w:rsid w:val="00A27E58"/>
    <w:rsid w:val="00A40BE5"/>
    <w:rsid w:val="00A932A2"/>
    <w:rsid w:val="00A951BE"/>
    <w:rsid w:val="00AC031F"/>
    <w:rsid w:val="00AC5BCD"/>
    <w:rsid w:val="00AD2D2F"/>
    <w:rsid w:val="00AD30F1"/>
    <w:rsid w:val="00AE1798"/>
    <w:rsid w:val="00B1177D"/>
    <w:rsid w:val="00B52E37"/>
    <w:rsid w:val="00B74CA6"/>
    <w:rsid w:val="00B77D37"/>
    <w:rsid w:val="00BC232D"/>
    <w:rsid w:val="00BE075B"/>
    <w:rsid w:val="00BE52C3"/>
    <w:rsid w:val="00C312F7"/>
    <w:rsid w:val="00C47610"/>
    <w:rsid w:val="00C47AA5"/>
    <w:rsid w:val="00C547D5"/>
    <w:rsid w:val="00C54A65"/>
    <w:rsid w:val="00C62417"/>
    <w:rsid w:val="00C87B64"/>
    <w:rsid w:val="00C92491"/>
    <w:rsid w:val="00CB7BF7"/>
    <w:rsid w:val="00CC342E"/>
    <w:rsid w:val="00CE0516"/>
    <w:rsid w:val="00CE3037"/>
    <w:rsid w:val="00CF7E0E"/>
    <w:rsid w:val="00D2064E"/>
    <w:rsid w:val="00D23963"/>
    <w:rsid w:val="00D40479"/>
    <w:rsid w:val="00D41F33"/>
    <w:rsid w:val="00D55BA9"/>
    <w:rsid w:val="00D6748D"/>
    <w:rsid w:val="00D76E5E"/>
    <w:rsid w:val="00D86098"/>
    <w:rsid w:val="00D86FB6"/>
    <w:rsid w:val="00D92A0C"/>
    <w:rsid w:val="00D95DC2"/>
    <w:rsid w:val="00DA0DB1"/>
    <w:rsid w:val="00DF507C"/>
    <w:rsid w:val="00E015E6"/>
    <w:rsid w:val="00E54BDE"/>
    <w:rsid w:val="00E90195"/>
    <w:rsid w:val="00EC4705"/>
    <w:rsid w:val="00EE203C"/>
    <w:rsid w:val="00EE5D6D"/>
    <w:rsid w:val="00EF2CC4"/>
    <w:rsid w:val="00F11F37"/>
    <w:rsid w:val="00F26E59"/>
    <w:rsid w:val="00F3054E"/>
    <w:rsid w:val="00F83E96"/>
    <w:rsid w:val="00F8652C"/>
    <w:rsid w:val="00F91077"/>
    <w:rsid w:val="00FD5A27"/>
    <w:rsid w:val="00FD700D"/>
    <w:rsid w:val="00FE4AE2"/>
    <w:rsid w:val="00FF6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C121EA-AF3B-4503-95A8-07FD188B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exact"/>
      <w:ind w:left="300" w:hangingChars="300" w:hanging="300"/>
      <w:textAlignment w:val="baseline"/>
    </w:pPr>
    <w:rPr>
      <w:rFonts w:eastAsia="標楷體"/>
      <w:sz w:val="32"/>
    </w:rPr>
  </w:style>
  <w:style w:type="paragraph" w:styleId="1">
    <w:name w:val="heading 1"/>
    <w:basedOn w:val="a"/>
    <w:next w:val="a"/>
    <w:autoRedefine/>
    <w:qFormat/>
    <w:pPr>
      <w:keepNext/>
      <w:numPr>
        <w:numId w:val="16"/>
      </w:numPr>
      <w:tabs>
        <w:tab w:val="clear" w:pos="1304"/>
        <w:tab w:val="num" w:pos="660"/>
      </w:tabs>
      <w:adjustRightInd/>
      <w:ind w:left="2240" w:hangingChars="700" w:hanging="2240"/>
      <w:textAlignment w:val="auto"/>
      <w:outlineLvl w:val="0"/>
    </w:pPr>
    <w:rPr>
      <w:rFonts w:ascii="標楷體"/>
      <w:bCs/>
      <w:kern w:val="52"/>
      <w:szCs w:val="52"/>
    </w:rPr>
  </w:style>
  <w:style w:type="paragraph" w:styleId="2">
    <w:name w:val="heading 2"/>
    <w:basedOn w:val="a"/>
    <w:next w:val="a"/>
    <w:qFormat/>
    <w:pPr>
      <w:keepNext/>
      <w:ind w:leftChars="800" w:left="2880" w:hanging="960"/>
      <w:outlineLvl w:val="1"/>
    </w:pPr>
  </w:style>
  <w:style w:type="paragraph" w:styleId="3">
    <w:name w:val="heading 3"/>
    <w:basedOn w:val="a"/>
    <w:next w:val="a"/>
    <w:autoRedefine/>
    <w:qFormat/>
    <w:pPr>
      <w:keepNext/>
      <w:numPr>
        <w:ilvl w:val="2"/>
        <w:numId w:val="13"/>
      </w:numPr>
      <w:spacing w:beforeLines="50" w:before="120" w:afterLines="50" w:line="360" w:lineRule="auto"/>
      <w:outlineLvl w:val="2"/>
    </w:pPr>
    <w:rPr>
      <w:rFonts w:ascii="Arial" w:eastAsia="新細明體" w:hAnsi="Arial"/>
      <w:b/>
      <w:sz w:val="28"/>
    </w:rPr>
  </w:style>
  <w:style w:type="paragraph" w:styleId="4">
    <w:name w:val="heading 4"/>
    <w:basedOn w:val="a"/>
    <w:next w:val="a"/>
    <w:qFormat/>
    <w:pPr>
      <w:numPr>
        <w:ilvl w:val="3"/>
        <w:numId w:val="12"/>
      </w:numPr>
      <w:spacing w:after="240" w:line="240" w:lineRule="atLeast"/>
      <w:outlineLvl w:val="3"/>
    </w:pPr>
  </w:style>
  <w:style w:type="paragraph" w:styleId="5">
    <w:name w:val="heading 5"/>
    <w:basedOn w:val="a"/>
    <w:next w:val="a"/>
    <w:qFormat/>
    <w:pPr>
      <w:keepNext/>
      <w:keepLines/>
      <w:widowControl/>
      <w:numPr>
        <w:ilvl w:val="4"/>
        <w:numId w:val="12"/>
      </w:numPr>
      <w:overflowPunct w:val="0"/>
      <w:autoSpaceDE w:val="0"/>
      <w:autoSpaceDN w:val="0"/>
      <w:adjustRightInd/>
      <w:spacing w:line="240" w:lineRule="atLeast"/>
      <w:outlineLvl w:val="4"/>
    </w:pPr>
    <w:rPr>
      <w:rFonts w:ascii="Arial" w:hAnsi="Arial"/>
      <w:spacing w:val="-4"/>
      <w:kern w:val="28"/>
      <w:sz w:val="20"/>
    </w:rPr>
  </w:style>
  <w:style w:type="paragraph" w:styleId="6">
    <w:name w:val="heading 6"/>
    <w:basedOn w:val="a"/>
    <w:next w:val="a"/>
    <w:qFormat/>
    <w:pPr>
      <w:keepNext/>
      <w:keepLines/>
      <w:widowControl/>
      <w:numPr>
        <w:ilvl w:val="5"/>
        <w:numId w:val="12"/>
      </w:numPr>
      <w:overflowPunct w:val="0"/>
      <w:autoSpaceDE w:val="0"/>
      <w:autoSpaceDN w:val="0"/>
      <w:adjustRightInd/>
      <w:spacing w:before="140" w:line="220" w:lineRule="atLeast"/>
      <w:outlineLvl w:val="5"/>
    </w:pPr>
    <w:rPr>
      <w:rFonts w:ascii="Arial" w:hAnsi="Arial"/>
      <w:i/>
      <w:spacing w:val="-4"/>
      <w:kern w:val="28"/>
      <w:sz w:val="20"/>
    </w:rPr>
  </w:style>
  <w:style w:type="paragraph" w:styleId="7">
    <w:name w:val="heading 7"/>
    <w:basedOn w:val="a"/>
    <w:next w:val="a"/>
    <w:qFormat/>
    <w:pPr>
      <w:numPr>
        <w:ilvl w:val="6"/>
        <w:numId w:val="12"/>
      </w:numPr>
      <w:outlineLvl w:val="6"/>
    </w:pPr>
    <w:rPr>
      <w:sz w:val="20"/>
    </w:rPr>
  </w:style>
  <w:style w:type="paragraph" w:styleId="8">
    <w:name w:val="heading 8"/>
    <w:basedOn w:val="a"/>
    <w:next w:val="a"/>
    <w:qFormat/>
    <w:pPr>
      <w:keepNext/>
      <w:keepLines/>
      <w:widowControl/>
      <w:numPr>
        <w:ilvl w:val="7"/>
        <w:numId w:val="12"/>
      </w:numPr>
      <w:overflowPunct w:val="0"/>
      <w:autoSpaceDE w:val="0"/>
      <w:autoSpaceDN w:val="0"/>
      <w:adjustRightInd/>
      <w:spacing w:before="140" w:line="220" w:lineRule="atLeast"/>
      <w:outlineLvl w:val="7"/>
    </w:pPr>
    <w:rPr>
      <w:rFonts w:ascii="Arial" w:hAnsi="Arial"/>
      <w:i/>
      <w:spacing w:val="-4"/>
      <w:kern w:val="28"/>
      <w:sz w:val="18"/>
    </w:rPr>
  </w:style>
  <w:style w:type="paragraph" w:styleId="9">
    <w:name w:val="heading 9"/>
    <w:basedOn w:val="a"/>
    <w:next w:val="a"/>
    <w:qFormat/>
    <w:pPr>
      <w:keepNext/>
      <w:keepLines/>
      <w:widowControl/>
      <w:numPr>
        <w:ilvl w:val="8"/>
        <w:numId w:val="12"/>
      </w:numPr>
      <w:overflowPunct w:val="0"/>
      <w:autoSpaceDE w:val="0"/>
      <w:autoSpaceDN w:val="0"/>
      <w:adjustRightInd/>
      <w:spacing w:before="140" w:line="220" w:lineRule="atLeast"/>
      <w:outlineLvl w:val="8"/>
    </w:pPr>
    <w:rPr>
      <w:rFonts w:ascii="Arial" w:hAnsi="Arial"/>
      <w:spacing w:val="-4"/>
      <w:kern w:val="28"/>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adjustRightInd/>
      <w:spacing w:before="100" w:beforeAutospacing="1" w:after="100" w:afterAutospacing="1"/>
      <w:textAlignment w:val="auto"/>
    </w:pPr>
    <w:rPr>
      <w:rFonts w:ascii="新細明體" w:eastAsia="新細明體" w:hAnsi="新細明體"/>
      <w:szCs w:val="24"/>
    </w:rPr>
  </w:style>
  <w:style w:type="paragraph" w:styleId="a3">
    <w:name w:val="Title"/>
    <w:basedOn w:val="a"/>
    <w:qFormat/>
    <w:pPr>
      <w:tabs>
        <w:tab w:val="right" w:pos="14340"/>
      </w:tabs>
      <w:spacing w:afterLines="50" w:after="180"/>
      <w:ind w:left="1682" w:hanging="1682"/>
      <w:jc w:val="center"/>
    </w:pPr>
    <w:rPr>
      <w:rFonts w:ascii="標楷體"/>
      <w:b/>
      <w:bCs/>
      <w:sz w:val="56"/>
    </w:rPr>
  </w:style>
  <w:style w:type="paragraph" w:styleId="a4">
    <w:name w:val="Normal Indent"/>
    <w:basedOn w:val="a"/>
    <w:semiHidden/>
    <w:pPr>
      <w:ind w:leftChars="200" w:left="1440" w:hangingChars="200" w:hanging="720"/>
    </w:pPr>
  </w:style>
  <w:style w:type="paragraph" w:styleId="a5">
    <w:name w:val="Body Text Indent"/>
    <w:basedOn w:val="a"/>
    <w:semiHidden/>
    <w:pPr>
      <w:ind w:left="1200" w:hanging="1200"/>
    </w:pPr>
    <w:rPr>
      <w:sz w:val="40"/>
    </w:rPr>
  </w:style>
  <w:style w:type="paragraph" w:styleId="a6">
    <w:name w:val="header"/>
    <w:basedOn w:val="a"/>
    <w:link w:val="a7"/>
    <w:uiPriority w:val="99"/>
    <w:unhideWhenUsed/>
    <w:rsid w:val="00662BCF"/>
    <w:pPr>
      <w:tabs>
        <w:tab w:val="center" w:pos="4153"/>
        <w:tab w:val="right" w:pos="8306"/>
      </w:tabs>
      <w:snapToGrid w:val="0"/>
    </w:pPr>
    <w:rPr>
      <w:sz w:val="20"/>
    </w:rPr>
  </w:style>
  <w:style w:type="character" w:customStyle="1" w:styleId="a7">
    <w:name w:val="頁首 字元"/>
    <w:link w:val="a6"/>
    <w:uiPriority w:val="99"/>
    <w:rsid w:val="00662BCF"/>
    <w:rPr>
      <w:rFonts w:eastAsia="標楷體"/>
    </w:rPr>
  </w:style>
  <w:style w:type="paragraph" w:styleId="a8">
    <w:name w:val="footer"/>
    <w:basedOn w:val="a"/>
    <w:link w:val="a9"/>
    <w:uiPriority w:val="99"/>
    <w:unhideWhenUsed/>
    <w:rsid w:val="00662BCF"/>
    <w:pPr>
      <w:tabs>
        <w:tab w:val="center" w:pos="4153"/>
        <w:tab w:val="right" w:pos="8306"/>
      </w:tabs>
      <w:snapToGrid w:val="0"/>
    </w:pPr>
    <w:rPr>
      <w:sz w:val="20"/>
    </w:rPr>
  </w:style>
  <w:style w:type="character" w:customStyle="1" w:styleId="a9">
    <w:name w:val="頁尾 字元"/>
    <w:link w:val="a8"/>
    <w:uiPriority w:val="99"/>
    <w:rsid w:val="00662BCF"/>
    <w:rPr>
      <w:rFonts w:eastAsia="標楷體"/>
    </w:rPr>
  </w:style>
  <w:style w:type="paragraph" w:customStyle="1" w:styleId="aa">
    <w:name w:val="行文機關"/>
    <w:basedOn w:val="a"/>
    <w:rsid w:val="00D41F33"/>
    <w:pPr>
      <w:adjustRightInd/>
      <w:snapToGrid w:val="0"/>
      <w:spacing w:line="240" w:lineRule="auto"/>
      <w:ind w:left="0" w:firstLineChars="0" w:firstLine="0"/>
      <w:textAlignment w:val="auto"/>
    </w:pPr>
    <w:rPr>
      <w:kern w:val="2"/>
      <w:sz w:val="24"/>
    </w:rPr>
  </w:style>
  <w:style w:type="paragraph" w:styleId="ab">
    <w:name w:val="Balloon Text"/>
    <w:basedOn w:val="a"/>
    <w:link w:val="ac"/>
    <w:uiPriority w:val="99"/>
    <w:semiHidden/>
    <w:unhideWhenUsed/>
    <w:rsid w:val="0060324A"/>
    <w:pPr>
      <w:spacing w:line="240" w:lineRule="auto"/>
    </w:pPr>
    <w:rPr>
      <w:rFonts w:ascii="Cambria" w:eastAsia="新細明體" w:hAnsi="Cambria"/>
      <w:sz w:val="18"/>
      <w:szCs w:val="18"/>
    </w:rPr>
  </w:style>
  <w:style w:type="character" w:customStyle="1" w:styleId="ac">
    <w:name w:val="註解方塊文字 字元"/>
    <w:link w:val="ab"/>
    <w:uiPriority w:val="99"/>
    <w:semiHidden/>
    <w:rsid w:val="0060324A"/>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yp\Letter\a_letter\&#22238;&#2678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A2AF-65C9-4B97-BFCB-292C7F50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回條</Template>
  <TotalTime>5</TotalTime>
  <Pages>1</Pages>
  <Words>215</Words>
  <Characters>1229</Characters>
  <Application>Microsoft Office Word</Application>
  <DocSecurity>0</DocSecurity>
  <Lines>10</Lines>
  <Paragraphs>2</Paragraphs>
  <ScaleCrop>false</ScaleCrop>
  <Company>WIT</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Tilte</dc:title>
  <dc:subject/>
  <dc:creator>t126</dc:creator>
  <cp:keywords/>
  <cp:lastModifiedBy>鄭慧雯</cp:lastModifiedBy>
  <cp:revision>5</cp:revision>
  <cp:lastPrinted>2016-05-18T09:04:00Z</cp:lastPrinted>
  <dcterms:created xsi:type="dcterms:W3CDTF">2019-02-23T07:43:00Z</dcterms:created>
  <dcterms:modified xsi:type="dcterms:W3CDTF">2019-02-23T07:49:00Z</dcterms:modified>
</cp:coreProperties>
</file>