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973A2" w:rsidRDefault="00C7631F" w:rsidP="002E6B8C">
      <w:pPr>
        <w:pStyle w:val="af2"/>
      </w:pPr>
      <w:bookmarkStart w:id="0" w:name="_GoBack"/>
      <w:bookmarkEnd w:id="0"/>
      <w:r w:rsidRPr="00A973A2">
        <w:rPr>
          <w:rFonts w:hint="eastAsia"/>
        </w:rPr>
        <w:t>陳報</w:t>
      </w:r>
      <w:r w:rsidR="00302810" w:rsidRPr="00A973A2">
        <w:rPr>
          <w:rFonts w:hint="eastAsia"/>
        </w:rPr>
        <w:t>補充</w:t>
      </w:r>
      <w:r w:rsidRPr="00A973A2">
        <w:rPr>
          <w:rFonts w:hint="eastAsia"/>
        </w:rPr>
        <w:t>說明書</w:t>
      </w:r>
    </w:p>
    <w:p w:rsidR="00302810" w:rsidRPr="00A973A2" w:rsidRDefault="007C464C" w:rsidP="00865AF6">
      <w:pPr>
        <w:pStyle w:val="1"/>
        <w:ind w:left="681" w:hangingChars="200" w:hanging="681"/>
        <w:rPr>
          <w:rFonts w:hAnsi="標楷體"/>
          <w:b/>
          <w:szCs w:val="32"/>
        </w:rPr>
      </w:pPr>
      <w:r w:rsidRPr="00A973A2">
        <w:rPr>
          <w:rFonts w:hAnsi="標楷體" w:hint="eastAsia"/>
          <w:b/>
          <w:szCs w:val="32"/>
        </w:rPr>
        <w:t>世界各國監察制度係以廣泛</w:t>
      </w:r>
      <w:r w:rsidR="00AF0F64" w:rsidRPr="00A973A2">
        <w:rPr>
          <w:rFonts w:hAnsi="標楷體" w:hint="eastAsia"/>
          <w:b/>
          <w:szCs w:val="32"/>
        </w:rPr>
        <w:t>調查權</w:t>
      </w:r>
      <w:r w:rsidRPr="00A973A2">
        <w:rPr>
          <w:rFonts w:hAnsi="標楷體" w:hint="eastAsia"/>
          <w:b/>
          <w:szCs w:val="32"/>
        </w:rPr>
        <w:t>行使，作為監察工作之核心職權，並非僅為</w:t>
      </w:r>
      <w:r w:rsidR="00302810" w:rsidRPr="00A973A2">
        <w:rPr>
          <w:rFonts w:hAnsi="標楷體" w:hint="eastAsia"/>
          <w:b/>
          <w:szCs w:val="32"/>
        </w:rPr>
        <w:t>工具性權力</w:t>
      </w:r>
      <w:r w:rsidR="00AF0F64" w:rsidRPr="00A973A2">
        <w:rPr>
          <w:rFonts w:hAnsi="標楷體" w:hint="eastAsia"/>
          <w:b/>
          <w:szCs w:val="32"/>
        </w:rPr>
        <w:t>，</w:t>
      </w:r>
      <w:r w:rsidRPr="00A973A2">
        <w:rPr>
          <w:rFonts w:hAnsi="標楷體" w:hint="eastAsia"/>
          <w:b/>
          <w:szCs w:val="32"/>
        </w:rPr>
        <w:t>而為</w:t>
      </w:r>
      <w:r w:rsidR="00FA733A" w:rsidRPr="00A973A2">
        <w:rPr>
          <w:rFonts w:hAnsi="標楷體" w:hint="eastAsia"/>
          <w:b/>
          <w:szCs w:val="32"/>
        </w:rPr>
        <w:t>世界各國</w:t>
      </w:r>
      <w:r w:rsidR="00AF0F64" w:rsidRPr="00A973A2">
        <w:rPr>
          <w:rFonts w:hAnsi="標楷體" w:hint="eastAsia"/>
          <w:b/>
          <w:szCs w:val="32"/>
        </w:rPr>
        <w:t>監察制度的核心</w:t>
      </w:r>
      <w:r w:rsidRPr="00A973A2">
        <w:rPr>
          <w:rFonts w:hAnsi="標楷體" w:hint="eastAsia"/>
          <w:b/>
          <w:szCs w:val="32"/>
        </w:rPr>
        <w:t>基礎</w:t>
      </w:r>
      <w:r w:rsidR="00AF0F64" w:rsidRPr="00A973A2">
        <w:rPr>
          <w:rFonts w:hAnsi="標楷體" w:hint="eastAsia"/>
          <w:b/>
          <w:szCs w:val="32"/>
        </w:rPr>
        <w:t>，</w:t>
      </w:r>
      <w:r w:rsidRPr="00A973A2">
        <w:rPr>
          <w:rFonts w:hAnsi="標楷體" w:hint="eastAsia"/>
          <w:b/>
          <w:szCs w:val="32"/>
        </w:rPr>
        <w:t>在我國五權憲法結構下，與其他各權相較，明定於憲法</w:t>
      </w:r>
      <w:r w:rsidR="00AF0F64" w:rsidRPr="00A973A2">
        <w:rPr>
          <w:rFonts w:hAnsi="標楷體" w:hint="eastAsia"/>
          <w:b/>
          <w:szCs w:val="32"/>
        </w:rPr>
        <w:t>第95條</w:t>
      </w:r>
      <w:r w:rsidR="00286A45" w:rsidRPr="00A973A2">
        <w:rPr>
          <w:rFonts w:hAnsi="標楷體" w:hint="eastAsia"/>
          <w:b/>
          <w:szCs w:val="32"/>
        </w:rPr>
        <w:t>與第96條，</w:t>
      </w:r>
      <w:r w:rsidR="00FA733A" w:rsidRPr="00A973A2">
        <w:rPr>
          <w:rFonts w:hAnsi="標楷體" w:hint="eastAsia"/>
          <w:b/>
          <w:szCs w:val="32"/>
        </w:rPr>
        <w:t>具有特別意義，</w:t>
      </w:r>
      <w:r w:rsidR="00CB39FE" w:rsidRPr="00A973A2">
        <w:rPr>
          <w:rFonts w:hAnsi="標楷體" w:hint="eastAsia"/>
          <w:b/>
          <w:szCs w:val="32"/>
        </w:rPr>
        <w:t>不得因</w:t>
      </w:r>
      <w:r w:rsidR="00125847" w:rsidRPr="00A973A2">
        <w:rPr>
          <w:rFonts w:hAnsi="標楷體" w:hint="eastAsia"/>
          <w:b/>
          <w:szCs w:val="32"/>
        </w:rPr>
        <w:t>釋字第375條之反面解釋，</w:t>
      </w:r>
      <w:r w:rsidR="00C41479" w:rsidRPr="00A973A2">
        <w:rPr>
          <w:rFonts w:hAnsi="標楷體" w:hint="eastAsia"/>
          <w:b/>
          <w:szCs w:val="32"/>
        </w:rPr>
        <w:t>而</w:t>
      </w:r>
      <w:r w:rsidR="004D1D5B" w:rsidRPr="00A973A2">
        <w:rPr>
          <w:rFonts w:hAnsi="標楷體" w:hint="eastAsia"/>
          <w:b/>
          <w:szCs w:val="32"/>
        </w:rPr>
        <w:t>否定</w:t>
      </w:r>
      <w:r w:rsidR="00CB39FE" w:rsidRPr="00A973A2">
        <w:rPr>
          <w:rFonts w:hAnsi="標楷體" w:hint="eastAsia"/>
          <w:b/>
          <w:szCs w:val="32"/>
        </w:rPr>
        <w:t>調查權該當於</w:t>
      </w:r>
      <w:r w:rsidR="00125847" w:rsidRPr="00A973A2">
        <w:rPr>
          <w:rFonts w:hAnsi="標楷體" w:hint="eastAsia"/>
          <w:b/>
          <w:szCs w:val="32"/>
        </w:rPr>
        <w:t>司法院大法官審理案件法第5條第1項第1款所稱之行使職權</w:t>
      </w:r>
      <w:r w:rsidR="004D1D5B" w:rsidRPr="00A973A2">
        <w:rPr>
          <w:rFonts w:hAnsi="標楷體" w:hint="eastAsia"/>
          <w:b/>
          <w:szCs w:val="32"/>
        </w:rPr>
        <w:t>。</w:t>
      </w:r>
    </w:p>
    <w:p w:rsidR="00302810" w:rsidRPr="00A973A2" w:rsidRDefault="001A5C77" w:rsidP="00FA733A">
      <w:pPr>
        <w:pStyle w:val="2"/>
        <w:rPr>
          <w:rFonts w:hAnsi="標楷體"/>
          <w:b/>
          <w:szCs w:val="32"/>
        </w:rPr>
      </w:pPr>
      <w:r w:rsidRPr="00A973A2">
        <w:rPr>
          <w:rFonts w:hAnsi="標楷體" w:hint="eastAsia"/>
          <w:b/>
          <w:szCs w:val="32"/>
        </w:rPr>
        <w:t>世界各國監察制度</w:t>
      </w:r>
      <w:r w:rsidR="00830C99" w:rsidRPr="00A973A2">
        <w:rPr>
          <w:rFonts w:hAnsi="標楷體" w:hint="eastAsia"/>
          <w:b/>
          <w:szCs w:val="32"/>
        </w:rPr>
        <w:t>均</w:t>
      </w:r>
      <w:r w:rsidRPr="00A973A2">
        <w:rPr>
          <w:rFonts w:hAnsi="標楷體" w:hint="eastAsia"/>
          <w:b/>
          <w:szCs w:val="32"/>
        </w:rPr>
        <w:t>係以廣泛調查權行使</w:t>
      </w:r>
      <w:r w:rsidR="00C41479" w:rsidRPr="00A973A2">
        <w:rPr>
          <w:rFonts w:hAnsi="標楷體" w:hint="eastAsia"/>
          <w:b/>
          <w:szCs w:val="32"/>
        </w:rPr>
        <w:t>作為基礎</w:t>
      </w:r>
      <w:r w:rsidRPr="00A973A2">
        <w:rPr>
          <w:rFonts w:hAnsi="標楷體" w:hint="eastAsia"/>
          <w:b/>
          <w:szCs w:val="32"/>
        </w:rPr>
        <w:t>，並非僅為工具性權力</w:t>
      </w:r>
      <w:r w:rsidR="008631B2" w:rsidRPr="00A973A2">
        <w:rPr>
          <w:rFonts w:hAnsi="標楷體" w:hint="eastAsia"/>
          <w:b/>
          <w:szCs w:val="32"/>
        </w:rPr>
        <w:t>，</w:t>
      </w:r>
      <w:r w:rsidR="00DF07BD" w:rsidRPr="00A973A2">
        <w:rPr>
          <w:rFonts w:hAnsi="標楷體" w:hint="eastAsia"/>
          <w:b/>
          <w:szCs w:val="32"/>
        </w:rPr>
        <w:t>而是核心職權。</w:t>
      </w:r>
    </w:p>
    <w:p w:rsidR="006E5303" w:rsidRPr="00A973A2" w:rsidRDefault="006E5303" w:rsidP="008631B2">
      <w:pPr>
        <w:pStyle w:val="20"/>
        <w:ind w:left="1020" w:firstLine="680"/>
        <w:rPr>
          <w:rFonts w:hAnsi="標楷體"/>
          <w:szCs w:val="32"/>
        </w:rPr>
      </w:pPr>
      <w:r w:rsidRPr="00A973A2">
        <w:rPr>
          <w:rFonts w:hAnsi="標楷體" w:hint="eastAsia"/>
          <w:szCs w:val="32"/>
        </w:rPr>
        <w:t>世界各國監察制度</w:t>
      </w:r>
      <w:r w:rsidR="00D17DEC" w:rsidRPr="00A973A2">
        <w:rPr>
          <w:rFonts w:hAnsi="標楷體" w:hint="eastAsia"/>
          <w:szCs w:val="32"/>
        </w:rPr>
        <w:t>均以</w:t>
      </w:r>
      <w:r w:rsidRPr="00A973A2">
        <w:rPr>
          <w:rFonts w:hAnsi="標楷體" w:hint="eastAsia"/>
          <w:szCs w:val="32"/>
        </w:rPr>
        <w:t>調查權為</w:t>
      </w:r>
      <w:r w:rsidR="00D17DEC" w:rsidRPr="00A973A2">
        <w:rPr>
          <w:rFonts w:hAnsi="標楷體" w:hint="eastAsia"/>
          <w:szCs w:val="32"/>
        </w:rPr>
        <w:t>監察職權之</w:t>
      </w:r>
      <w:r w:rsidRPr="00A973A2">
        <w:rPr>
          <w:rFonts w:hAnsi="標楷體" w:hint="eastAsia"/>
          <w:szCs w:val="32"/>
        </w:rPr>
        <w:t>核心</w:t>
      </w:r>
      <w:r w:rsidR="004D1D5B" w:rsidRPr="00A973A2">
        <w:rPr>
          <w:rStyle w:val="aff"/>
          <w:rFonts w:hAnsi="標楷體"/>
          <w:szCs w:val="32"/>
        </w:rPr>
        <w:footnoteReference w:id="1"/>
      </w:r>
      <w:r w:rsidR="00AF0F64" w:rsidRPr="00A973A2">
        <w:rPr>
          <w:rFonts w:hAnsi="標楷體" w:hint="eastAsia"/>
          <w:szCs w:val="32"/>
        </w:rPr>
        <w:t>基礎</w:t>
      </w:r>
      <w:r w:rsidR="00D17DEC" w:rsidRPr="00A973A2">
        <w:rPr>
          <w:rFonts w:hAnsi="標楷體" w:hint="eastAsia"/>
          <w:szCs w:val="32"/>
        </w:rPr>
        <w:t>或</w:t>
      </w:r>
      <w:r w:rsidR="001937A5" w:rsidRPr="00A973A2">
        <w:rPr>
          <w:rFonts w:hAnsi="標楷體" w:hint="eastAsia"/>
          <w:szCs w:val="32"/>
        </w:rPr>
        <w:t>受理人民陳情</w:t>
      </w:r>
      <w:r w:rsidR="004D1D5B" w:rsidRPr="00A973A2">
        <w:rPr>
          <w:rStyle w:val="aff"/>
          <w:rFonts w:hAnsi="標楷體"/>
          <w:szCs w:val="32"/>
        </w:rPr>
        <w:footnoteReference w:id="2"/>
      </w:r>
      <w:r w:rsidR="00D17DEC" w:rsidRPr="00A973A2">
        <w:rPr>
          <w:rFonts w:hAnsi="標楷體" w:hint="eastAsia"/>
          <w:szCs w:val="32"/>
        </w:rPr>
        <w:t>或主動調查</w:t>
      </w:r>
      <w:r w:rsidR="00AF0F64" w:rsidRPr="00A973A2">
        <w:rPr>
          <w:rFonts w:hAnsi="標楷體" w:hint="eastAsia"/>
          <w:szCs w:val="32"/>
        </w:rPr>
        <w:t>，</w:t>
      </w:r>
      <w:r w:rsidR="00D17DEC" w:rsidRPr="00A973A2">
        <w:rPr>
          <w:rFonts w:hAnsi="標楷體" w:hint="eastAsia"/>
          <w:szCs w:val="32"/>
        </w:rPr>
        <w:t>而非必然有彈劾</w:t>
      </w:r>
      <w:r w:rsidR="00D17DEC" w:rsidRPr="00A973A2">
        <w:rPr>
          <w:rFonts w:hAnsi="標楷體" w:hint="eastAsia"/>
          <w:szCs w:val="32"/>
        </w:rPr>
        <w:lastRenderedPageBreak/>
        <w:t>權力，</w:t>
      </w:r>
      <w:r w:rsidR="00AF0F64" w:rsidRPr="00A973A2">
        <w:rPr>
          <w:rFonts w:hAnsi="標楷體" w:hint="eastAsia"/>
          <w:szCs w:val="32"/>
        </w:rPr>
        <w:t>而該調查權</w:t>
      </w:r>
      <w:r w:rsidR="008631B2" w:rsidRPr="00A973A2">
        <w:rPr>
          <w:rFonts w:hAnsi="標楷體" w:hint="eastAsia"/>
          <w:szCs w:val="32"/>
        </w:rPr>
        <w:t>均為</w:t>
      </w:r>
      <w:r w:rsidR="00AF0F64" w:rsidRPr="00A973A2">
        <w:rPr>
          <w:rFonts w:hAnsi="標楷體" w:hint="eastAsia"/>
          <w:szCs w:val="32"/>
        </w:rPr>
        <w:t>廣泛的權力</w:t>
      </w:r>
      <w:r w:rsidR="00C41479" w:rsidRPr="00A973A2">
        <w:rPr>
          <w:rFonts w:hAnsi="標楷體" w:hint="eastAsia"/>
          <w:szCs w:val="32"/>
        </w:rPr>
        <w:t>，</w:t>
      </w:r>
      <w:r w:rsidR="008631B2" w:rsidRPr="00A973A2">
        <w:rPr>
          <w:rFonts w:hAnsi="標楷體" w:hint="eastAsia"/>
          <w:szCs w:val="32"/>
        </w:rPr>
        <w:t>除少數北歐國家外</w:t>
      </w:r>
      <w:r w:rsidR="00E47F90" w:rsidRPr="00A973A2">
        <w:rPr>
          <w:rStyle w:val="aff"/>
          <w:rFonts w:hAnsi="標楷體"/>
          <w:szCs w:val="32"/>
        </w:rPr>
        <w:footnoteReference w:id="3"/>
      </w:r>
      <w:r w:rsidR="008631B2" w:rsidRPr="00A973A2">
        <w:rPr>
          <w:rFonts w:hAnsi="標楷體" w:hint="eastAsia"/>
          <w:szCs w:val="32"/>
        </w:rPr>
        <w:t>，</w:t>
      </w:r>
      <w:r w:rsidR="006E16C8" w:rsidRPr="00A973A2">
        <w:rPr>
          <w:rFonts w:hAnsi="標楷體" w:hint="eastAsia"/>
          <w:szCs w:val="32"/>
        </w:rPr>
        <w:t>其</w:t>
      </w:r>
      <w:r w:rsidR="004F298E" w:rsidRPr="00A973A2">
        <w:rPr>
          <w:rFonts w:hAnsi="標楷體" w:hint="eastAsia"/>
          <w:szCs w:val="32"/>
        </w:rPr>
        <w:t>餘</w:t>
      </w:r>
      <w:r w:rsidR="006E16C8" w:rsidRPr="00A973A2">
        <w:rPr>
          <w:rFonts w:hAnsi="標楷體" w:hint="eastAsia"/>
          <w:szCs w:val="32"/>
        </w:rPr>
        <w:t>監察機關</w:t>
      </w:r>
      <w:r w:rsidR="008631B2" w:rsidRPr="00A973A2">
        <w:rPr>
          <w:rFonts w:hAnsi="標楷體" w:hint="eastAsia"/>
          <w:szCs w:val="32"/>
        </w:rPr>
        <w:t>較無終局決定權</w:t>
      </w:r>
      <w:r w:rsidR="004F298E" w:rsidRPr="00A973A2">
        <w:rPr>
          <w:rFonts w:hAnsi="標楷體" w:hint="eastAsia"/>
          <w:szCs w:val="32"/>
        </w:rPr>
        <w:t>。</w:t>
      </w:r>
      <w:r w:rsidR="001937A5" w:rsidRPr="00A973A2">
        <w:rPr>
          <w:rFonts w:hAnsi="標楷體" w:hint="eastAsia"/>
          <w:szCs w:val="32"/>
        </w:rPr>
        <w:t>我國</w:t>
      </w:r>
      <w:r w:rsidR="00D17DEC" w:rsidRPr="00A973A2">
        <w:rPr>
          <w:rFonts w:hAnsi="標楷體" w:hint="eastAsia"/>
          <w:szCs w:val="32"/>
        </w:rPr>
        <w:t>明定於</w:t>
      </w:r>
      <w:r w:rsidR="001937A5" w:rsidRPr="00A973A2">
        <w:rPr>
          <w:rFonts w:hAnsi="標楷體" w:hint="eastAsia"/>
          <w:szCs w:val="32"/>
        </w:rPr>
        <w:t>憲法第95條：「監察院為行使監察權，得向行政院及其各部會調閱其所發布之命令及各種有關文件。」憲法第96條規定：「監察院得按行政院及其各部會之工作，分設若干委員會，調查一切設施，注意其是否違法或失職。」</w:t>
      </w:r>
      <w:r w:rsidR="00914393" w:rsidRPr="00A973A2">
        <w:rPr>
          <w:rFonts w:hAnsi="標楷體" w:hint="eastAsia"/>
          <w:szCs w:val="32"/>
        </w:rPr>
        <w:t>，自不得釋字第325號解釋</w:t>
      </w:r>
      <w:r w:rsidR="00FE1F49" w:rsidRPr="00A973A2">
        <w:rPr>
          <w:rFonts w:hAnsi="標楷體" w:hint="eastAsia"/>
          <w:szCs w:val="32"/>
        </w:rPr>
        <w:t>所稱</w:t>
      </w:r>
      <w:r w:rsidR="00914393" w:rsidRPr="00A973A2">
        <w:rPr>
          <w:rFonts w:hAnsi="標楷體" w:hint="eastAsia"/>
          <w:szCs w:val="32"/>
        </w:rPr>
        <w:t>：「惟憲法之五院體制並未改變，原屬於監察院職權中之彈劾、糾舉、糾正權</w:t>
      </w:r>
      <w:r w:rsidR="00914393" w:rsidRPr="00A973A2">
        <w:rPr>
          <w:rFonts w:hAnsi="標楷體" w:hint="eastAsia"/>
          <w:szCs w:val="32"/>
          <w:u w:val="single"/>
        </w:rPr>
        <w:t>及為行使此等職權，依憲法第95條、第96條具有之調查權</w:t>
      </w:r>
      <w:r w:rsidR="00914393" w:rsidRPr="00A973A2">
        <w:rPr>
          <w:rFonts w:hAnsi="標楷體" w:hint="eastAsia"/>
          <w:szCs w:val="32"/>
        </w:rPr>
        <w:t>，憲法增修條文亦未修改，此項調查權仍應專由監察院行使。」反面解釋稱因為調查權是為行使憲法第90條規定：「監察院為國家最高監察機關，行</w:t>
      </w:r>
      <w:r w:rsidR="00914393" w:rsidRPr="00A973A2">
        <w:rPr>
          <w:rFonts w:hAnsi="標楷體" w:hint="eastAsia"/>
          <w:szCs w:val="32"/>
        </w:rPr>
        <w:lastRenderedPageBreak/>
        <w:t>使同意、彈劾、糾舉及審計權。」與憲法第97條規定：「監察院經各該委員會之審查及決議，得提出糾正案，移送行政院及其有關部會，促其注意改善。監察院對於中央及地方公務人員，認為有失職或違法情事，得提出糾舉案或彈劾案，如涉及刑事，應移送法院辦理。」所列權力，而稱並非監察職權</w:t>
      </w:r>
      <w:r w:rsidR="00FA733A" w:rsidRPr="00A973A2">
        <w:rPr>
          <w:rFonts w:hAnsi="標楷體" w:hint="eastAsia"/>
          <w:szCs w:val="32"/>
        </w:rPr>
        <w:t>。</w:t>
      </w:r>
      <w:r w:rsidR="00D8057A" w:rsidRPr="00A973A2">
        <w:rPr>
          <w:rFonts w:hAnsi="標楷體" w:hint="eastAsia"/>
          <w:szCs w:val="32"/>
        </w:rPr>
        <w:t>如是，則</w:t>
      </w:r>
      <w:r w:rsidR="00D8057A" w:rsidRPr="00A973A2">
        <w:rPr>
          <w:rFonts w:hAnsi="標楷體" w:hint="eastAsia"/>
          <w:b/>
          <w:szCs w:val="32"/>
          <w:u w:val="single"/>
        </w:rPr>
        <w:t>世界各國的監察制度大多僅</w:t>
      </w:r>
      <w:r w:rsidR="00914393" w:rsidRPr="00A973A2">
        <w:rPr>
          <w:rFonts w:hAnsi="標楷體" w:hint="eastAsia"/>
          <w:b/>
          <w:szCs w:val="32"/>
          <w:u w:val="single"/>
        </w:rPr>
        <w:t>規定</w:t>
      </w:r>
      <w:r w:rsidR="008631B2" w:rsidRPr="00A973A2">
        <w:rPr>
          <w:rFonts w:hAnsi="標楷體" w:hint="eastAsia"/>
          <w:b/>
          <w:szCs w:val="32"/>
          <w:u w:val="single"/>
        </w:rPr>
        <w:t>接受陳情、調查與提出報告或</w:t>
      </w:r>
      <w:r w:rsidR="00795571" w:rsidRPr="00A973A2">
        <w:rPr>
          <w:rFonts w:hAnsi="標楷體" w:hint="eastAsia"/>
          <w:b/>
          <w:szCs w:val="32"/>
          <w:u w:val="single"/>
        </w:rPr>
        <w:t>不具有</w:t>
      </w:r>
      <w:r w:rsidR="00C41479" w:rsidRPr="00A973A2">
        <w:rPr>
          <w:rFonts w:hAnsi="標楷體" w:hint="eastAsia"/>
          <w:b/>
          <w:szCs w:val="32"/>
          <w:u w:val="single"/>
        </w:rPr>
        <w:t>強制力之</w:t>
      </w:r>
      <w:r w:rsidR="008631B2" w:rsidRPr="00A973A2">
        <w:rPr>
          <w:rFonts w:hAnsi="標楷體" w:hint="eastAsia"/>
          <w:b/>
          <w:szCs w:val="32"/>
          <w:u w:val="single"/>
        </w:rPr>
        <w:t>建議</w:t>
      </w:r>
      <w:r w:rsidR="00C41479" w:rsidRPr="00A973A2">
        <w:rPr>
          <w:rFonts w:hAnsi="標楷體" w:hint="eastAsia"/>
          <w:b/>
          <w:szCs w:val="32"/>
          <w:u w:val="single"/>
        </w:rPr>
        <w:t>性質</w:t>
      </w:r>
      <w:r w:rsidR="0087345F" w:rsidRPr="00A973A2">
        <w:rPr>
          <w:rFonts w:hAnsi="標楷體" w:hint="eastAsia"/>
          <w:b/>
          <w:szCs w:val="32"/>
          <w:u w:val="single"/>
        </w:rPr>
        <w:t>修改法律等</w:t>
      </w:r>
      <w:r w:rsidR="008631B2" w:rsidRPr="00A973A2">
        <w:rPr>
          <w:rFonts w:hAnsi="標楷體" w:hint="eastAsia"/>
          <w:b/>
          <w:szCs w:val="32"/>
          <w:u w:val="single"/>
        </w:rPr>
        <w:t>權力，</w:t>
      </w:r>
      <w:r w:rsidR="008631B2" w:rsidRPr="00A973A2">
        <w:rPr>
          <w:rFonts w:hAnsi="標楷體" w:hint="eastAsia"/>
          <w:szCs w:val="32"/>
        </w:rPr>
        <w:t>豈非世界各國監察使們所行使之上開權力，均非</w:t>
      </w:r>
      <w:r w:rsidR="00FA733A" w:rsidRPr="00A973A2">
        <w:rPr>
          <w:rFonts w:hAnsi="標楷體" w:hint="eastAsia"/>
          <w:szCs w:val="32"/>
        </w:rPr>
        <w:t>行使監察職權，</w:t>
      </w:r>
      <w:r w:rsidR="00125847" w:rsidRPr="00A973A2">
        <w:rPr>
          <w:rFonts w:hAnsi="標楷體" w:hint="eastAsia"/>
          <w:szCs w:val="32"/>
        </w:rPr>
        <w:t>進而</w:t>
      </w:r>
      <w:r w:rsidR="00C13F12" w:rsidRPr="00A973A2">
        <w:rPr>
          <w:rFonts w:hAnsi="標楷體" w:hint="eastAsia"/>
          <w:szCs w:val="32"/>
        </w:rPr>
        <w:t>稱</w:t>
      </w:r>
      <w:r w:rsidR="004027D3" w:rsidRPr="00A973A2">
        <w:rPr>
          <w:rFonts w:hAnsi="標楷體" w:hint="eastAsia"/>
          <w:szCs w:val="32"/>
        </w:rPr>
        <w:t>因為</w:t>
      </w:r>
      <w:r w:rsidR="00C13F12" w:rsidRPr="00A973A2">
        <w:rPr>
          <w:rFonts w:hAnsi="標楷體" w:hint="eastAsia"/>
          <w:szCs w:val="32"/>
        </w:rPr>
        <w:t>尚未事先</w:t>
      </w:r>
      <w:r w:rsidR="00C41479" w:rsidRPr="00A973A2">
        <w:rPr>
          <w:rFonts w:hAnsi="標楷體" w:hint="eastAsia"/>
          <w:szCs w:val="32"/>
        </w:rPr>
        <w:t>於調查權或所提出之調查報告中</w:t>
      </w:r>
      <w:r w:rsidR="00C13F12" w:rsidRPr="00A973A2">
        <w:rPr>
          <w:rFonts w:hAnsi="標楷體" w:hint="eastAsia"/>
          <w:szCs w:val="32"/>
        </w:rPr>
        <w:t>表彰</w:t>
      </w:r>
      <w:r w:rsidR="004027D3" w:rsidRPr="00A973A2">
        <w:rPr>
          <w:rFonts w:hAnsi="標楷體" w:hint="eastAsia"/>
          <w:szCs w:val="32"/>
        </w:rPr>
        <w:t>該調查應為「彈劾、糾舉、糾正」</w:t>
      </w:r>
      <w:r w:rsidR="00C13F12" w:rsidRPr="00A973A2">
        <w:rPr>
          <w:rFonts w:hAnsi="標楷體" w:hint="eastAsia"/>
          <w:szCs w:val="32"/>
        </w:rPr>
        <w:t>或</w:t>
      </w:r>
      <w:r w:rsidR="004027D3" w:rsidRPr="00A973A2">
        <w:rPr>
          <w:rFonts w:hAnsi="標楷體" w:hint="eastAsia"/>
          <w:szCs w:val="32"/>
        </w:rPr>
        <w:t>該調查尚未</w:t>
      </w:r>
      <w:r w:rsidR="00C13F12" w:rsidRPr="00A973A2">
        <w:rPr>
          <w:rFonts w:hAnsi="標楷體" w:hint="eastAsia"/>
          <w:szCs w:val="32"/>
        </w:rPr>
        <w:t>進入彈劾、糾舉</w:t>
      </w:r>
      <w:r w:rsidR="004027D3" w:rsidRPr="00A973A2">
        <w:rPr>
          <w:rFonts w:hAnsi="標楷體" w:hint="eastAsia"/>
          <w:szCs w:val="32"/>
        </w:rPr>
        <w:t>與糾正</w:t>
      </w:r>
      <w:r w:rsidR="00C13F12" w:rsidRPr="00A973A2">
        <w:rPr>
          <w:rFonts w:hAnsi="標楷體" w:hint="eastAsia"/>
          <w:szCs w:val="32"/>
        </w:rPr>
        <w:t>之階段（如後述），即</w:t>
      </w:r>
      <w:r w:rsidR="00125847" w:rsidRPr="00A973A2">
        <w:rPr>
          <w:rFonts w:hAnsi="標楷體" w:hint="eastAsia"/>
          <w:szCs w:val="32"/>
        </w:rPr>
        <w:t>非該當</w:t>
      </w:r>
      <w:r w:rsidR="00FA733A" w:rsidRPr="00A973A2">
        <w:rPr>
          <w:rFonts w:hAnsi="標楷體" w:hint="eastAsia"/>
          <w:szCs w:val="32"/>
        </w:rPr>
        <w:t>司法院大法官審理案件法第5條第1項第1款所稱之行使職權</w:t>
      </w:r>
      <w:r w:rsidR="008631B2" w:rsidRPr="00A973A2">
        <w:rPr>
          <w:rFonts w:hAnsi="標楷體" w:hint="eastAsia"/>
          <w:szCs w:val="32"/>
        </w:rPr>
        <w:t>，如有，法律理由何在，煩請司法院大法官詳實論述？</w:t>
      </w:r>
    </w:p>
    <w:p w:rsidR="006E16C8" w:rsidRPr="00A973A2" w:rsidRDefault="006E16C8" w:rsidP="006E16C8">
      <w:pPr>
        <w:pStyle w:val="2"/>
        <w:rPr>
          <w:rFonts w:hAnsi="標楷體"/>
          <w:b/>
          <w:szCs w:val="32"/>
        </w:rPr>
      </w:pPr>
      <w:r w:rsidRPr="00A973A2">
        <w:rPr>
          <w:rFonts w:hAnsi="標楷體" w:hint="eastAsia"/>
          <w:b/>
          <w:szCs w:val="32"/>
        </w:rPr>
        <w:t>依據憲法第90條規定，監察院為國家最高監察機關，</w:t>
      </w:r>
      <w:r w:rsidR="000F688E" w:rsidRPr="00A973A2">
        <w:rPr>
          <w:rFonts w:hAnsi="標楷體" w:hint="eastAsia"/>
          <w:b/>
          <w:szCs w:val="32"/>
        </w:rPr>
        <w:t>透過</w:t>
      </w:r>
      <w:r w:rsidRPr="00A973A2">
        <w:rPr>
          <w:rFonts w:hAnsi="標楷體" w:hint="eastAsia"/>
          <w:b/>
          <w:szCs w:val="32"/>
        </w:rPr>
        <w:t>監察功能，</w:t>
      </w:r>
      <w:r w:rsidR="00D8057A" w:rsidRPr="00A973A2">
        <w:rPr>
          <w:rFonts w:hAnsi="標楷體" w:hint="eastAsia"/>
          <w:b/>
          <w:szCs w:val="32"/>
        </w:rPr>
        <w:t>自屬</w:t>
      </w:r>
      <w:r w:rsidRPr="00A973A2">
        <w:rPr>
          <w:rFonts w:hAnsi="標楷體" w:hint="eastAsia"/>
          <w:b/>
          <w:szCs w:val="32"/>
        </w:rPr>
        <w:t>人權保障機關</w:t>
      </w:r>
      <w:r w:rsidR="007B5905" w:rsidRPr="00A973A2">
        <w:rPr>
          <w:rStyle w:val="aff"/>
          <w:rFonts w:hAnsi="標楷體"/>
          <w:b/>
          <w:szCs w:val="32"/>
        </w:rPr>
        <w:footnoteReference w:id="4"/>
      </w:r>
      <w:r w:rsidRPr="00A973A2">
        <w:rPr>
          <w:rFonts w:hAnsi="標楷體" w:hint="eastAsia"/>
          <w:b/>
          <w:szCs w:val="32"/>
        </w:rPr>
        <w:t>，</w:t>
      </w:r>
      <w:r w:rsidR="00D8057A" w:rsidRPr="00A973A2">
        <w:rPr>
          <w:rFonts w:hAnsi="標楷體" w:hint="eastAsia"/>
          <w:b/>
          <w:szCs w:val="32"/>
        </w:rPr>
        <w:t>得</w:t>
      </w:r>
      <w:r w:rsidRPr="00A973A2">
        <w:rPr>
          <w:rFonts w:hAnsi="標楷體" w:hint="eastAsia"/>
          <w:b/>
          <w:szCs w:val="32"/>
        </w:rPr>
        <w:t>透過充分調查權之行使，</w:t>
      </w:r>
      <w:r w:rsidR="000F688E" w:rsidRPr="00A973A2">
        <w:rPr>
          <w:rFonts w:hAnsi="標楷體" w:hint="eastAsia"/>
          <w:b/>
          <w:szCs w:val="32"/>
        </w:rPr>
        <w:t>向</w:t>
      </w:r>
      <w:r w:rsidRPr="00A973A2">
        <w:rPr>
          <w:rFonts w:hAnsi="標楷體" w:hint="eastAsia"/>
          <w:b/>
          <w:szCs w:val="32"/>
        </w:rPr>
        <w:t>主管機</w:t>
      </w:r>
      <w:r w:rsidR="002C584C" w:rsidRPr="00A973A2">
        <w:rPr>
          <w:rFonts w:hAnsi="標楷體" w:hint="eastAsia"/>
          <w:b/>
          <w:szCs w:val="32"/>
        </w:rPr>
        <w:t>關（</w:t>
      </w:r>
      <w:r w:rsidRPr="00A973A2">
        <w:rPr>
          <w:rFonts w:hAnsi="標楷體" w:hint="eastAsia"/>
          <w:b/>
          <w:szCs w:val="32"/>
        </w:rPr>
        <w:t>構</w:t>
      </w:r>
      <w:r w:rsidR="002C584C" w:rsidRPr="00A973A2">
        <w:rPr>
          <w:rFonts w:hAnsi="標楷體" w:hint="eastAsia"/>
          <w:b/>
          <w:szCs w:val="32"/>
        </w:rPr>
        <w:t>）</w:t>
      </w:r>
      <w:r w:rsidRPr="00A973A2">
        <w:rPr>
          <w:rFonts w:hAnsi="標楷體" w:hint="eastAsia"/>
          <w:b/>
          <w:szCs w:val="32"/>
        </w:rPr>
        <w:t>提出意見、建議、提議和報告，並</w:t>
      </w:r>
      <w:r w:rsidR="00FA733A" w:rsidRPr="00A973A2">
        <w:rPr>
          <w:rFonts w:hAnsi="標楷體" w:hint="eastAsia"/>
          <w:b/>
          <w:szCs w:val="32"/>
        </w:rPr>
        <w:t>基於憲法最高監察機關之職權，</w:t>
      </w:r>
      <w:r w:rsidR="004027D3" w:rsidRPr="00A973A2">
        <w:rPr>
          <w:rFonts w:hAnsi="標楷體" w:hint="eastAsia"/>
          <w:b/>
          <w:szCs w:val="32"/>
        </w:rPr>
        <w:t>透過監督各權力機關適用</w:t>
      </w:r>
      <w:r w:rsidR="00FA733A" w:rsidRPr="00A973A2">
        <w:rPr>
          <w:rFonts w:hAnsi="標楷體" w:hint="eastAsia"/>
          <w:b/>
          <w:szCs w:val="32"/>
        </w:rPr>
        <w:t>現行立法和行政規定，以確保</w:t>
      </w:r>
      <w:r w:rsidRPr="00A973A2">
        <w:rPr>
          <w:rFonts w:hAnsi="標楷體" w:hint="eastAsia"/>
          <w:b/>
          <w:szCs w:val="32"/>
        </w:rPr>
        <w:t>符合人權的基本原則</w:t>
      </w:r>
      <w:r w:rsidR="000F688E" w:rsidRPr="00A973A2">
        <w:rPr>
          <w:rFonts w:hAnsi="標楷體" w:hint="eastAsia"/>
          <w:b/>
          <w:szCs w:val="32"/>
        </w:rPr>
        <w:t>，</w:t>
      </w:r>
      <w:r w:rsidR="00FA733A" w:rsidRPr="00A973A2">
        <w:rPr>
          <w:rFonts w:hAnsi="標楷體" w:hint="eastAsia"/>
          <w:b/>
          <w:szCs w:val="32"/>
        </w:rPr>
        <w:t>當為</w:t>
      </w:r>
      <w:r w:rsidR="0087345F" w:rsidRPr="00A973A2">
        <w:rPr>
          <w:rFonts w:hAnsi="標楷體" w:hint="eastAsia"/>
          <w:b/>
          <w:szCs w:val="32"/>
        </w:rPr>
        <w:t>「</w:t>
      </w:r>
      <w:r w:rsidR="00125847" w:rsidRPr="00A973A2">
        <w:rPr>
          <w:rFonts w:hAnsi="標楷體" w:hint="eastAsia"/>
          <w:b/>
          <w:szCs w:val="32"/>
        </w:rPr>
        <w:t>獨立人權保障機關</w:t>
      </w:r>
      <w:r w:rsidR="0087345F" w:rsidRPr="00A973A2">
        <w:rPr>
          <w:rFonts w:hAnsi="標楷體" w:hint="eastAsia"/>
          <w:b/>
          <w:szCs w:val="32"/>
        </w:rPr>
        <w:t>」</w:t>
      </w:r>
      <w:r w:rsidR="00125847" w:rsidRPr="00A973A2">
        <w:rPr>
          <w:rFonts w:hAnsi="標楷體" w:hint="eastAsia"/>
          <w:b/>
          <w:szCs w:val="32"/>
        </w:rPr>
        <w:t>之必要條件。</w:t>
      </w:r>
    </w:p>
    <w:p w:rsidR="00B92533" w:rsidRPr="00A973A2" w:rsidRDefault="00B92533" w:rsidP="000F688E">
      <w:pPr>
        <w:pStyle w:val="20"/>
        <w:ind w:left="1020" w:firstLine="680"/>
        <w:rPr>
          <w:rFonts w:hAnsi="標楷體"/>
          <w:szCs w:val="32"/>
          <w:u w:val="single"/>
        </w:rPr>
      </w:pPr>
      <w:r w:rsidRPr="00A973A2">
        <w:rPr>
          <w:rFonts w:hAnsi="標楷體" w:hint="eastAsia"/>
          <w:szCs w:val="32"/>
        </w:rPr>
        <w:t>依據巴黎原則</w:t>
      </w:r>
      <w:r w:rsidRPr="00A973A2">
        <w:rPr>
          <w:rStyle w:val="aff"/>
          <w:rFonts w:hAnsi="標楷體"/>
          <w:szCs w:val="32"/>
        </w:rPr>
        <w:footnoteReference w:id="5"/>
      </w:r>
      <w:r w:rsidR="006E16C8" w:rsidRPr="00A973A2">
        <w:rPr>
          <w:rFonts w:hAnsi="標楷體" w:hint="eastAsia"/>
          <w:szCs w:val="32"/>
        </w:rPr>
        <w:t>之六大重點</w:t>
      </w:r>
      <w:r w:rsidRPr="00A973A2">
        <w:rPr>
          <w:rFonts w:hAnsi="標楷體" w:hint="eastAsia"/>
          <w:szCs w:val="32"/>
        </w:rPr>
        <w:t>：</w:t>
      </w:r>
      <w:r w:rsidR="006E16C8" w:rsidRPr="00A973A2">
        <w:rPr>
          <w:rFonts w:hAnsi="標楷體" w:hint="eastAsia"/>
          <w:szCs w:val="32"/>
        </w:rPr>
        <w:t>1.</w:t>
      </w:r>
      <w:r w:rsidRPr="00A973A2">
        <w:rPr>
          <w:rFonts w:hAnsi="標楷體" w:hint="eastAsia"/>
          <w:szCs w:val="32"/>
        </w:rPr>
        <w:t>地位法律保障（Independence guaranteed by statute or  constitution）；</w:t>
      </w:r>
      <w:r w:rsidR="006E16C8" w:rsidRPr="00A973A2">
        <w:rPr>
          <w:rFonts w:hAnsi="標楷體" w:hint="eastAsia"/>
          <w:szCs w:val="32"/>
        </w:rPr>
        <w:t>2.</w:t>
      </w:r>
      <w:r w:rsidRPr="00A973A2">
        <w:rPr>
          <w:rFonts w:hAnsi="標楷體" w:hint="eastAsia"/>
          <w:szCs w:val="32"/>
        </w:rPr>
        <w:t>成員多元化（Pluralism, including in membership）；</w:t>
      </w:r>
      <w:r w:rsidR="006E16C8" w:rsidRPr="00A973A2">
        <w:rPr>
          <w:rFonts w:hAnsi="標楷體" w:hint="eastAsia"/>
          <w:szCs w:val="32"/>
        </w:rPr>
        <w:t>3.</w:t>
      </w:r>
      <w:r w:rsidRPr="00A973A2">
        <w:rPr>
          <w:rFonts w:hAnsi="標楷體" w:hint="eastAsia"/>
          <w:szCs w:val="32"/>
        </w:rPr>
        <w:t>獨立性原則（Autonomy from government）；</w:t>
      </w:r>
      <w:r w:rsidR="006E16C8" w:rsidRPr="00A973A2">
        <w:rPr>
          <w:rFonts w:hAnsi="標楷體" w:hint="eastAsia"/>
          <w:szCs w:val="32"/>
        </w:rPr>
        <w:t>4.</w:t>
      </w:r>
      <w:r w:rsidRPr="00A973A2">
        <w:rPr>
          <w:rFonts w:hAnsi="標楷體" w:hint="eastAsia"/>
          <w:szCs w:val="32"/>
        </w:rPr>
        <w:t xml:space="preserve">資源充足性（Sufficient resources）； </w:t>
      </w:r>
      <w:r w:rsidR="006E16C8" w:rsidRPr="00A973A2">
        <w:rPr>
          <w:rFonts w:hAnsi="標楷體" w:hint="eastAsia"/>
          <w:b/>
          <w:szCs w:val="32"/>
          <w:u w:val="single"/>
        </w:rPr>
        <w:t>5.</w:t>
      </w:r>
      <w:r w:rsidRPr="00A973A2">
        <w:rPr>
          <w:rFonts w:hAnsi="標楷體" w:hint="eastAsia"/>
          <w:b/>
          <w:szCs w:val="32"/>
          <w:u w:val="single"/>
        </w:rPr>
        <w:t>充分調查權（Adequate powers of investigation）</w:t>
      </w:r>
      <w:r w:rsidRPr="00A973A2">
        <w:rPr>
          <w:rFonts w:hAnsi="標楷體" w:hint="eastAsia"/>
          <w:b/>
          <w:szCs w:val="32"/>
        </w:rPr>
        <w:t>；</w:t>
      </w:r>
      <w:r w:rsidR="006E16C8" w:rsidRPr="00A973A2">
        <w:rPr>
          <w:rFonts w:hAnsi="標楷體" w:hint="eastAsia"/>
          <w:szCs w:val="32"/>
        </w:rPr>
        <w:t>6.</w:t>
      </w:r>
      <w:r w:rsidRPr="00A973A2">
        <w:rPr>
          <w:rFonts w:hAnsi="標楷體" w:hint="eastAsia"/>
          <w:szCs w:val="32"/>
        </w:rPr>
        <w:t>寬廣任務（A broad mandate based on universal human rights standards）</w:t>
      </w:r>
      <w:r w:rsidR="00FA733A" w:rsidRPr="00A973A2">
        <w:rPr>
          <w:rFonts w:hAnsi="標楷體" w:hint="eastAsia"/>
          <w:szCs w:val="32"/>
        </w:rPr>
        <w:t>，</w:t>
      </w:r>
      <w:r w:rsidR="00540F40" w:rsidRPr="00A973A2">
        <w:rPr>
          <w:rFonts w:hAnsi="標楷體" w:hint="eastAsia"/>
          <w:szCs w:val="32"/>
        </w:rPr>
        <w:t>基於上開重點，該原則第2點與第3點規定「應賦予國家機構盡可能廣泛的授權，對這種授權在憲法和立法案文中應有明確規定，並具體規定其組成和權限範圍」</w:t>
      </w:r>
      <w:r w:rsidR="00A4605C" w:rsidRPr="00A973A2">
        <w:rPr>
          <w:rFonts w:hAnsi="標楷體" w:hint="eastAsia"/>
          <w:szCs w:val="32"/>
        </w:rPr>
        <w:t>及</w:t>
      </w:r>
      <w:r w:rsidR="00540F40" w:rsidRPr="00A973A2">
        <w:rPr>
          <w:rFonts w:hAnsi="標楷體" w:hint="eastAsia"/>
          <w:szCs w:val="32"/>
        </w:rPr>
        <w:t>「國家機構除其它外，應具有以下職責：(a)</w:t>
      </w:r>
      <w:r w:rsidR="00540F40" w:rsidRPr="00A973A2">
        <w:rPr>
          <w:rFonts w:hAnsi="標楷體" w:hint="eastAsia"/>
          <w:b/>
          <w:szCs w:val="32"/>
          <w:u w:val="single"/>
        </w:rPr>
        <w:t>應有關當局的要求，或通過行使其在不需向上級請示逕行聽審案件的權利，就有關促進和保護人權的任何事項，向政府、議會和任何其它主管機構提出意見、建議、提議和報告；並可決定予以公布；</w:t>
      </w:r>
      <w:r w:rsidR="00540F40" w:rsidRPr="00A973A2">
        <w:rPr>
          <w:rFonts w:hAnsi="標楷體" w:hint="eastAsia"/>
          <w:szCs w:val="32"/>
        </w:rPr>
        <w:t>這些意見、建議、提議和報告以及該國家機構的任何特權應與以下領域有關係：(1)目的在於維持和擴大保護人權的任何立法和行政規定以及有關司法組織的規定；為此，</w:t>
      </w:r>
      <w:r w:rsidR="00540F40" w:rsidRPr="00A973A2">
        <w:rPr>
          <w:rFonts w:hAnsi="標楷體" w:hint="eastAsia"/>
          <w:b/>
          <w:szCs w:val="32"/>
          <w:u w:val="single"/>
        </w:rPr>
        <w:t>國家機構應審查現行的立法和行政規定，以及法案和提案，並提出它認為合適的建議，以確保這些規定符合人權的基本原則；必要時，它應建議通過新的立法，修正現行的立法以及通過或修正行政措施</w:t>
      </w:r>
      <w:r w:rsidR="00540F40" w:rsidRPr="00A973A2">
        <w:rPr>
          <w:rFonts w:hAnsi="標楷體" w:hint="eastAsia"/>
          <w:szCs w:val="32"/>
        </w:rPr>
        <w:t>；(2)它決定處理的任何侵犯人權的情況；(3)就人權問題的一般國家情況和比較具體的事項編寫報告；(4)提請政府注意國內任何地區人權遭受侵犯的情況，建議政府主動採取結束這種情況的行動，並視情況需要對政府要採取的立場和作出的反應提出意見</w:t>
      </w:r>
      <w:r w:rsidR="00A4605C" w:rsidRPr="00A973A2">
        <w:rPr>
          <w:rFonts w:hAnsi="標楷體" w:hint="eastAsia"/>
          <w:szCs w:val="32"/>
        </w:rPr>
        <w:t>……</w:t>
      </w:r>
      <w:r w:rsidR="00540F40" w:rsidRPr="00A973A2">
        <w:rPr>
          <w:rFonts w:hAnsi="標楷體" w:hint="eastAsia"/>
          <w:szCs w:val="32"/>
        </w:rPr>
        <w:t>」</w:t>
      </w:r>
      <w:r w:rsidR="00A4605C" w:rsidRPr="00A973A2">
        <w:rPr>
          <w:rFonts w:hAnsi="標楷體" w:hint="eastAsia"/>
          <w:szCs w:val="32"/>
        </w:rPr>
        <w:t>。</w:t>
      </w:r>
      <w:r w:rsidR="00D57E71" w:rsidRPr="00A973A2">
        <w:rPr>
          <w:rFonts w:hAnsi="標楷體" w:hint="eastAsia"/>
          <w:szCs w:val="32"/>
          <w:u w:val="single"/>
        </w:rPr>
        <w:t>監察院</w:t>
      </w:r>
      <w:r w:rsidR="00FA733A" w:rsidRPr="00A973A2">
        <w:rPr>
          <w:rFonts w:hAnsi="標楷體" w:hint="eastAsia"/>
          <w:szCs w:val="32"/>
          <w:u w:val="single"/>
        </w:rPr>
        <w:t>作為中華民國最高監察機關，</w:t>
      </w:r>
      <w:r w:rsidR="009B660A" w:rsidRPr="00A973A2">
        <w:rPr>
          <w:rFonts w:hAnsi="標楷體" w:hint="eastAsia"/>
          <w:szCs w:val="32"/>
          <w:u w:val="single"/>
        </w:rPr>
        <w:t>基於保障人權，</w:t>
      </w:r>
      <w:r w:rsidR="00FA733A" w:rsidRPr="00A973A2">
        <w:rPr>
          <w:rFonts w:hAnsi="標楷體" w:hint="eastAsia"/>
          <w:szCs w:val="32"/>
          <w:u w:val="single"/>
        </w:rPr>
        <w:t>何以</w:t>
      </w:r>
      <w:r w:rsidR="004027D3" w:rsidRPr="00A973A2">
        <w:rPr>
          <w:rFonts w:hAnsi="標楷體" w:hint="eastAsia"/>
          <w:szCs w:val="32"/>
          <w:u w:val="single"/>
        </w:rPr>
        <w:t>接受人民陳情後，</w:t>
      </w:r>
      <w:r w:rsidR="009B660A" w:rsidRPr="00A973A2">
        <w:rPr>
          <w:rFonts w:hAnsi="標楷體" w:hint="eastAsia"/>
          <w:szCs w:val="32"/>
          <w:u w:val="single"/>
        </w:rPr>
        <w:t>於</w:t>
      </w:r>
      <w:r w:rsidR="00FA733A" w:rsidRPr="00A973A2">
        <w:rPr>
          <w:rFonts w:hAnsi="標楷體" w:hint="eastAsia"/>
          <w:szCs w:val="32"/>
          <w:u w:val="single"/>
        </w:rPr>
        <w:t>行使</w:t>
      </w:r>
      <w:r w:rsidR="00540F40" w:rsidRPr="00A973A2">
        <w:rPr>
          <w:rFonts w:hAnsi="標楷體" w:hint="eastAsia"/>
          <w:szCs w:val="32"/>
          <w:u w:val="single"/>
        </w:rPr>
        <w:t>調查權時，不能</w:t>
      </w:r>
      <w:r w:rsidR="007B3C02" w:rsidRPr="00A973A2">
        <w:rPr>
          <w:rFonts w:hAnsi="標楷體" w:hint="eastAsia"/>
          <w:szCs w:val="32"/>
          <w:u w:val="single"/>
        </w:rPr>
        <w:t>「</w:t>
      </w:r>
      <w:r w:rsidR="00540F40" w:rsidRPr="00A973A2">
        <w:rPr>
          <w:rFonts w:hAnsi="標楷體" w:hint="eastAsia"/>
          <w:szCs w:val="32"/>
          <w:u w:val="single"/>
        </w:rPr>
        <w:t>碰觸</w:t>
      </w:r>
      <w:r w:rsidR="004027D3" w:rsidRPr="00A973A2">
        <w:rPr>
          <w:rFonts w:hAnsi="標楷體" w:hint="eastAsia"/>
          <w:szCs w:val="32"/>
          <w:u w:val="single"/>
        </w:rPr>
        <w:t>、接觸、看見</w:t>
      </w:r>
      <w:r w:rsidR="007B3C02" w:rsidRPr="00A973A2">
        <w:rPr>
          <w:rFonts w:hAnsi="標楷體" w:hint="eastAsia"/>
          <w:szCs w:val="32"/>
          <w:u w:val="single"/>
        </w:rPr>
        <w:t>、撫摸</w:t>
      </w:r>
      <w:r w:rsidR="00540F40" w:rsidRPr="00A973A2">
        <w:rPr>
          <w:rFonts w:hAnsi="標楷體" w:hint="eastAsia"/>
          <w:szCs w:val="32"/>
          <w:u w:val="single"/>
        </w:rPr>
        <w:t>或適用</w:t>
      </w:r>
      <w:r w:rsidR="007B3C02" w:rsidRPr="00A973A2">
        <w:rPr>
          <w:rFonts w:hAnsi="標楷體" w:hint="eastAsia"/>
          <w:szCs w:val="32"/>
          <w:u w:val="single"/>
        </w:rPr>
        <w:t>」</w:t>
      </w:r>
      <w:r w:rsidR="00540F40" w:rsidRPr="00A973A2">
        <w:rPr>
          <w:rFonts w:hAnsi="標楷體" w:hint="eastAsia"/>
          <w:szCs w:val="32"/>
          <w:u w:val="single"/>
        </w:rPr>
        <w:t>政黨及其附隨組織不當取得財產處理條例</w:t>
      </w:r>
      <w:r w:rsidR="00D57E71" w:rsidRPr="00A973A2">
        <w:rPr>
          <w:rFonts w:hAnsi="標楷體" w:hint="eastAsia"/>
          <w:u w:val="single"/>
        </w:rPr>
        <w:t>（下稱</w:t>
      </w:r>
      <w:r w:rsidR="00D57E71" w:rsidRPr="00A973A2">
        <w:rPr>
          <w:rFonts w:hint="eastAsia"/>
          <w:u w:val="single"/>
        </w:rPr>
        <w:t>黨產條例</w:t>
      </w:r>
      <w:r w:rsidR="00D57E71" w:rsidRPr="00A973A2">
        <w:rPr>
          <w:rFonts w:hAnsi="標楷體" w:hint="eastAsia"/>
          <w:u w:val="single"/>
        </w:rPr>
        <w:t>）</w:t>
      </w:r>
      <w:r w:rsidR="00540F40" w:rsidRPr="00A973A2">
        <w:rPr>
          <w:rFonts w:hAnsi="標楷體" w:hint="eastAsia"/>
          <w:szCs w:val="32"/>
          <w:u w:val="single"/>
        </w:rPr>
        <w:t>之規定，進而發見該條例有</w:t>
      </w:r>
      <w:r w:rsidR="000B0943" w:rsidRPr="00A973A2">
        <w:rPr>
          <w:rFonts w:hAnsi="標楷體" w:hint="eastAsia"/>
          <w:szCs w:val="32"/>
          <w:u w:val="single"/>
        </w:rPr>
        <w:t>牴觸或</w:t>
      </w:r>
      <w:r w:rsidR="00540F40" w:rsidRPr="00A973A2">
        <w:rPr>
          <w:rFonts w:hAnsi="標楷體" w:hint="eastAsia"/>
          <w:szCs w:val="32"/>
          <w:u w:val="single"/>
        </w:rPr>
        <w:t>違背憲法或侵害基本人權之虞時，</w:t>
      </w:r>
      <w:r w:rsidR="009B660A" w:rsidRPr="00A973A2">
        <w:rPr>
          <w:rFonts w:hAnsi="標楷體" w:hint="eastAsia"/>
          <w:szCs w:val="32"/>
          <w:u w:val="single"/>
        </w:rPr>
        <w:t>又</w:t>
      </w:r>
      <w:r w:rsidR="00540F40" w:rsidRPr="00A973A2">
        <w:rPr>
          <w:rFonts w:hAnsi="標楷體" w:hint="eastAsia"/>
          <w:szCs w:val="32"/>
          <w:u w:val="single"/>
        </w:rPr>
        <w:t>不得</w:t>
      </w:r>
      <w:r w:rsidR="00D57E71" w:rsidRPr="00A973A2">
        <w:rPr>
          <w:rFonts w:hAnsi="標楷體" w:hint="eastAsia"/>
          <w:szCs w:val="32"/>
          <w:u w:val="single"/>
        </w:rPr>
        <w:t>向</w:t>
      </w:r>
      <w:r w:rsidR="00540F40" w:rsidRPr="00A973A2">
        <w:rPr>
          <w:rFonts w:hAnsi="標楷體" w:hint="eastAsia"/>
          <w:szCs w:val="32"/>
          <w:u w:val="single"/>
        </w:rPr>
        <w:t>釋憲</w:t>
      </w:r>
      <w:r w:rsidR="00D8057A" w:rsidRPr="00A973A2">
        <w:rPr>
          <w:rFonts w:hAnsi="標楷體" w:hint="eastAsia"/>
          <w:szCs w:val="32"/>
          <w:u w:val="single"/>
        </w:rPr>
        <w:t>「</w:t>
      </w:r>
      <w:r w:rsidR="00540F40" w:rsidRPr="00A973A2">
        <w:rPr>
          <w:rFonts w:hAnsi="標楷體" w:hint="eastAsia"/>
          <w:szCs w:val="32"/>
          <w:u w:val="single"/>
        </w:rPr>
        <w:t>主管機關</w:t>
      </w:r>
      <w:r w:rsidR="00D8057A" w:rsidRPr="00A973A2">
        <w:rPr>
          <w:rFonts w:hAnsi="標楷體" w:hint="eastAsia"/>
          <w:szCs w:val="32"/>
          <w:u w:val="single"/>
        </w:rPr>
        <w:t>」</w:t>
      </w:r>
      <w:r w:rsidR="00540F40" w:rsidRPr="00A973A2">
        <w:rPr>
          <w:rFonts w:hAnsi="標楷體"/>
          <w:szCs w:val="32"/>
          <w:u w:val="single"/>
        </w:rPr>
        <w:t>—</w:t>
      </w:r>
      <w:r w:rsidR="00540F40" w:rsidRPr="00A973A2">
        <w:rPr>
          <w:rFonts w:hAnsi="標楷體" w:hint="eastAsia"/>
          <w:szCs w:val="32"/>
          <w:u w:val="single"/>
        </w:rPr>
        <w:t>司法院大法官</w:t>
      </w:r>
      <w:r w:rsidR="00D57E71" w:rsidRPr="00A973A2">
        <w:rPr>
          <w:rFonts w:hAnsi="標楷體" w:hint="eastAsia"/>
          <w:szCs w:val="32"/>
          <w:u w:val="single"/>
        </w:rPr>
        <w:t>聲請</w:t>
      </w:r>
      <w:r w:rsidR="00540F40" w:rsidRPr="00A973A2">
        <w:rPr>
          <w:rFonts w:hAnsi="標楷體" w:hint="eastAsia"/>
          <w:szCs w:val="32"/>
          <w:u w:val="single"/>
        </w:rPr>
        <w:t>解釋，如</w:t>
      </w:r>
      <w:r w:rsidR="00D57E71" w:rsidRPr="00A973A2">
        <w:rPr>
          <w:rFonts w:hAnsi="標楷體" w:hint="eastAsia"/>
          <w:szCs w:val="32"/>
          <w:u w:val="single"/>
        </w:rPr>
        <w:t>是</w:t>
      </w:r>
      <w:r w:rsidR="00540F40" w:rsidRPr="00A973A2">
        <w:rPr>
          <w:rFonts w:hAnsi="標楷體" w:hint="eastAsia"/>
          <w:szCs w:val="32"/>
          <w:u w:val="single"/>
        </w:rPr>
        <w:t>，法律理由何在</w:t>
      </w:r>
      <w:r w:rsidR="00D57E71" w:rsidRPr="00A973A2">
        <w:rPr>
          <w:rFonts w:hAnsi="標楷體" w:hint="eastAsia"/>
          <w:szCs w:val="32"/>
          <w:u w:val="single"/>
        </w:rPr>
        <w:t>？</w:t>
      </w:r>
      <w:r w:rsidR="00540F40" w:rsidRPr="00A973A2">
        <w:rPr>
          <w:rFonts w:hAnsi="標楷體" w:hint="eastAsia"/>
          <w:szCs w:val="32"/>
          <w:u w:val="single"/>
        </w:rPr>
        <w:t>煩請司法院大法官詳實論述</w:t>
      </w:r>
      <w:r w:rsidR="00D57E71" w:rsidRPr="00A973A2">
        <w:rPr>
          <w:rFonts w:hAnsi="標楷體" w:hint="eastAsia"/>
          <w:szCs w:val="32"/>
          <w:u w:val="single"/>
        </w:rPr>
        <w:t>。</w:t>
      </w:r>
    </w:p>
    <w:p w:rsidR="00A4605C" w:rsidRPr="00A973A2" w:rsidRDefault="00A4605C" w:rsidP="00D133D7"/>
    <w:p w:rsidR="00DF07BD" w:rsidRPr="00A973A2" w:rsidRDefault="00125847" w:rsidP="00382231">
      <w:pPr>
        <w:pStyle w:val="1"/>
        <w:ind w:left="681" w:hangingChars="200" w:hanging="681"/>
        <w:rPr>
          <w:rFonts w:hAnsi="標楷體"/>
          <w:b/>
          <w:szCs w:val="32"/>
        </w:rPr>
      </w:pPr>
      <w:r w:rsidRPr="00A973A2">
        <w:rPr>
          <w:rFonts w:hAnsi="標楷體" w:hint="eastAsia"/>
          <w:b/>
          <w:szCs w:val="32"/>
        </w:rPr>
        <w:t>監察院行使調查權</w:t>
      </w:r>
      <w:r w:rsidR="007B3C02" w:rsidRPr="00A973A2">
        <w:rPr>
          <w:rFonts w:hAnsi="標楷體" w:hint="eastAsia"/>
          <w:b/>
          <w:szCs w:val="32"/>
        </w:rPr>
        <w:t>就「法令違憲審查權」之發動，並無破壞</w:t>
      </w:r>
      <w:r w:rsidR="00DF07BD" w:rsidRPr="00A973A2">
        <w:rPr>
          <w:rFonts w:hAnsi="標楷體" w:hint="eastAsia"/>
          <w:b/>
          <w:szCs w:val="32"/>
        </w:rPr>
        <w:t>權力分立原則</w:t>
      </w:r>
      <w:r w:rsidR="007B3C02" w:rsidRPr="00A973A2">
        <w:rPr>
          <w:rFonts w:hAnsi="標楷體" w:hint="eastAsia"/>
          <w:b/>
          <w:szCs w:val="32"/>
        </w:rPr>
        <w:t>，侵害其他憲法機關</w:t>
      </w:r>
      <w:r w:rsidR="00DF07BD" w:rsidRPr="00A973A2">
        <w:rPr>
          <w:rFonts w:hAnsi="標楷體" w:hint="eastAsia"/>
          <w:b/>
          <w:szCs w:val="32"/>
        </w:rPr>
        <w:t>之</w:t>
      </w:r>
      <w:r w:rsidR="007B3C02" w:rsidRPr="00A973A2">
        <w:rPr>
          <w:rFonts w:hAnsi="標楷體" w:hint="eastAsia"/>
          <w:b/>
          <w:szCs w:val="32"/>
        </w:rPr>
        <w:t>情形</w:t>
      </w:r>
      <w:r w:rsidR="00DF07BD" w:rsidRPr="00A973A2">
        <w:rPr>
          <w:rFonts w:hAnsi="標楷體" w:hint="eastAsia"/>
          <w:b/>
          <w:szCs w:val="32"/>
        </w:rPr>
        <w:t>。</w:t>
      </w:r>
    </w:p>
    <w:p w:rsidR="00B56E8F" w:rsidRPr="00A973A2" w:rsidRDefault="00B56E8F" w:rsidP="00B56E8F">
      <w:pPr>
        <w:pStyle w:val="2"/>
        <w:rPr>
          <w:rFonts w:hAnsi="標楷體"/>
          <w:b/>
          <w:szCs w:val="32"/>
        </w:rPr>
      </w:pPr>
      <w:r w:rsidRPr="00A973A2">
        <w:rPr>
          <w:rFonts w:hAnsi="標楷體" w:hint="eastAsia"/>
          <w:b/>
          <w:szCs w:val="32"/>
        </w:rPr>
        <w:t>監察院行使調查權就「法令違憲審查權」之發動，並無產生</w:t>
      </w:r>
      <w:r w:rsidR="002668EB" w:rsidRPr="00A973A2">
        <w:rPr>
          <w:rFonts w:hAnsi="標楷體" w:hint="eastAsia"/>
          <w:b/>
          <w:szCs w:val="32"/>
        </w:rPr>
        <w:t>糾正</w:t>
      </w:r>
      <w:r w:rsidR="00AD1168" w:rsidRPr="00A973A2">
        <w:rPr>
          <w:rFonts w:hAnsi="標楷體" w:hint="eastAsia"/>
          <w:b/>
          <w:szCs w:val="32"/>
        </w:rPr>
        <w:t>「</w:t>
      </w:r>
      <w:r w:rsidR="002668EB" w:rsidRPr="00A973A2">
        <w:rPr>
          <w:rFonts w:hAnsi="標楷體" w:hint="eastAsia"/>
          <w:b/>
          <w:szCs w:val="32"/>
        </w:rPr>
        <w:t>立法院</w:t>
      </w:r>
      <w:r w:rsidR="00AD1168" w:rsidRPr="00A973A2">
        <w:rPr>
          <w:rFonts w:hAnsi="標楷體" w:hint="eastAsia"/>
          <w:b/>
          <w:szCs w:val="32"/>
        </w:rPr>
        <w:t>」</w:t>
      </w:r>
      <w:r w:rsidR="00C13F12" w:rsidRPr="00A973A2">
        <w:rPr>
          <w:rFonts w:hAnsi="標楷體" w:hint="eastAsia"/>
          <w:b/>
          <w:szCs w:val="32"/>
        </w:rPr>
        <w:t>之任何效果，</w:t>
      </w:r>
      <w:r w:rsidR="007B3C02" w:rsidRPr="00A973A2">
        <w:rPr>
          <w:rFonts w:hAnsi="標楷體" w:hint="eastAsia"/>
          <w:b/>
          <w:szCs w:val="32"/>
        </w:rPr>
        <w:t>自</w:t>
      </w:r>
      <w:r w:rsidR="00C13F12" w:rsidRPr="00A973A2">
        <w:rPr>
          <w:rFonts w:hAnsi="標楷體" w:hint="eastAsia"/>
          <w:b/>
          <w:szCs w:val="32"/>
        </w:rPr>
        <w:t>不會</w:t>
      </w:r>
      <w:r w:rsidR="004C1065" w:rsidRPr="00A973A2">
        <w:rPr>
          <w:rFonts w:hAnsi="標楷體" w:hint="eastAsia"/>
          <w:b/>
          <w:szCs w:val="32"/>
        </w:rPr>
        <w:t>代替立法，</w:t>
      </w:r>
      <w:r w:rsidR="00C13F12" w:rsidRPr="00A973A2">
        <w:rPr>
          <w:rFonts w:hAnsi="標楷體" w:hint="eastAsia"/>
          <w:b/>
          <w:szCs w:val="32"/>
        </w:rPr>
        <w:t>侵害立法權之分毫。</w:t>
      </w:r>
    </w:p>
    <w:p w:rsidR="008829C2" w:rsidRPr="00A973A2" w:rsidRDefault="004027D3" w:rsidP="00A4605C">
      <w:pPr>
        <w:pStyle w:val="20"/>
        <w:ind w:left="1020" w:firstLine="680"/>
      </w:pPr>
      <w:r w:rsidRPr="00A973A2">
        <w:rPr>
          <w:rFonts w:hint="eastAsia"/>
        </w:rPr>
        <w:t>我國</w:t>
      </w:r>
      <w:r w:rsidR="00E3787A" w:rsidRPr="00A973A2">
        <w:rPr>
          <w:rFonts w:hint="eastAsia"/>
        </w:rPr>
        <w:t>憲法</w:t>
      </w:r>
      <w:r w:rsidRPr="00A973A2">
        <w:rPr>
          <w:rFonts w:hint="eastAsia"/>
        </w:rPr>
        <w:t>就監察權</w:t>
      </w:r>
      <w:r w:rsidR="00E3787A" w:rsidRPr="00A973A2">
        <w:rPr>
          <w:rFonts w:hint="eastAsia"/>
        </w:rPr>
        <w:t>固有</w:t>
      </w:r>
      <w:r w:rsidR="00C13F12" w:rsidRPr="00A973A2">
        <w:rPr>
          <w:rFonts w:hint="eastAsia"/>
        </w:rPr>
        <w:t>對</w:t>
      </w:r>
      <w:r w:rsidR="00A4605C" w:rsidRPr="00A973A2">
        <w:rPr>
          <w:rFonts w:hint="eastAsia"/>
        </w:rPr>
        <w:t>事</w:t>
      </w:r>
      <w:r w:rsidR="00C13F12" w:rsidRPr="00A973A2">
        <w:rPr>
          <w:rFonts w:hint="eastAsia"/>
        </w:rPr>
        <w:t>糾正與對人彈劾之區別，然糾正權之</w:t>
      </w:r>
      <w:r w:rsidR="00382231" w:rsidRPr="00A973A2">
        <w:rPr>
          <w:rFonts w:hint="eastAsia"/>
        </w:rPr>
        <w:t>執行</w:t>
      </w:r>
      <w:r w:rsidR="00AD1168" w:rsidRPr="00A973A2">
        <w:rPr>
          <w:rFonts w:hint="eastAsia"/>
        </w:rPr>
        <w:t>，</w:t>
      </w:r>
      <w:r w:rsidR="00382231" w:rsidRPr="00A973A2">
        <w:rPr>
          <w:rFonts w:hint="eastAsia"/>
        </w:rPr>
        <w:t>實因</w:t>
      </w:r>
      <w:r w:rsidR="00E3787A" w:rsidRPr="00A973A2">
        <w:rPr>
          <w:rFonts w:hint="eastAsia"/>
        </w:rPr>
        <w:t>彈劾權效力所</w:t>
      </w:r>
      <w:r w:rsidR="00C13F12" w:rsidRPr="00A973A2">
        <w:rPr>
          <w:rFonts w:hint="eastAsia"/>
        </w:rPr>
        <w:t>延伸</w:t>
      </w:r>
      <w:r w:rsidR="00E3787A" w:rsidRPr="00A973A2">
        <w:rPr>
          <w:rFonts w:hint="eastAsia"/>
        </w:rPr>
        <w:t>及確保</w:t>
      </w:r>
      <w:r w:rsidR="00AD1168" w:rsidRPr="00A973A2">
        <w:rPr>
          <w:rFonts w:hint="eastAsia"/>
        </w:rPr>
        <w:t>。</w:t>
      </w:r>
    </w:p>
    <w:p w:rsidR="00C13F12" w:rsidRPr="00A973A2" w:rsidRDefault="00C13F12" w:rsidP="00286A45">
      <w:pPr>
        <w:pStyle w:val="3"/>
        <w:rPr>
          <w:rFonts w:hAnsi="標楷體"/>
          <w:szCs w:val="32"/>
        </w:rPr>
      </w:pPr>
      <w:r w:rsidRPr="00A973A2">
        <w:rPr>
          <w:rFonts w:hAnsi="標楷體" w:hint="eastAsia"/>
          <w:szCs w:val="32"/>
        </w:rPr>
        <w:t>糾正權行使之對象及要件</w:t>
      </w:r>
      <w:r w:rsidR="00AD1168" w:rsidRPr="00A973A2">
        <w:rPr>
          <w:rFonts w:hAnsi="標楷體" w:hint="eastAsia"/>
          <w:szCs w:val="32"/>
        </w:rPr>
        <w:t>限於行政院</w:t>
      </w:r>
      <w:r w:rsidR="0023708E" w:rsidRPr="00A973A2">
        <w:rPr>
          <w:rFonts w:hAnsi="標楷體" w:hint="eastAsia"/>
          <w:szCs w:val="32"/>
        </w:rPr>
        <w:t>及其所屬機關。</w:t>
      </w:r>
    </w:p>
    <w:p w:rsidR="0023708E" w:rsidRPr="00A973A2" w:rsidRDefault="00C13F12" w:rsidP="0023708E">
      <w:pPr>
        <w:pStyle w:val="4"/>
      </w:pPr>
      <w:r w:rsidRPr="00A973A2">
        <w:rPr>
          <w:rFonts w:hint="eastAsia"/>
        </w:rPr>
        <w:t>依憲法第</w:t>
      </w:r>
      <w:r w:rsidR="009D24BB" w:rsidRPr="00A973A2">
        <w:rPr>
          <w:rFonts w:hint="eastAsia"/>
        </w:rPr>
        <w:t>96</w:t>
      </w:r>
      <w:r w:rsidRPr="00A973A2">
        <w:rPr>
          <w:rFonts w:hint="eastAsia"/>
        </w:rPr>
        <w:t>條規定，監察院得按行政院及其各部會之工作，分設若干委員會，調查一切設施，注意其是否違法或失職。此一規定係闡明監察院之各委員會依行政院及其各部會之工作而分設，以調查行政院及其各部會之一切設施，注意上開機關是否有違法或失職，因之各委員會審查及決定糾正案之範圍，應限於行政院及其各部會之工作及設施。</w:t>
      </w:r>
    </w:p>
    <w:p w:rsidR="00C13F12" w:rsidRPr="00A973A2" w:rsidRDefault="00C13F12" w:rsidP="0023708E">
      <w:pPr>
        <w:pStyle w:val="4"/>
      </w:pPr>
      <w:r w:rsidRPr="00A973A2">
        <w:rPr>
          <w:rFonts w:hint="eastAsia"/>
        </w:rPr>
        <w:t>依憲法第</w:t>
      </w:r>
      <w:r w:rsidR="009D24BB" w:rsidRPr="00A973A2">
        <w:rPr>
          <w:rFonts w:hint="eastAsia"/>
        </w:rPr>
        <w:t>97</w:t>
      </w:r>
      <w:r w:rsidRPr="00A973A2">
        <w:rPr>
          <w:rFonts w:hint="eastAsia"/>
        </w:rPr>
        <w:t>條第</w:t>
      </w:r>
      <w:r w:rsidR="009D24BB" w:rsidRPr="00A973A2">
        <w:rPr>
          <w:rFonts w:hint="eastAsia"/>
        </w:rPr>
        <w:t>1</w:t>
      </w:r>
      <w:r w:rsidRPr="00A973A2">
        <w:rPr>
          <w:rFonts w:hint="eastAsia"/>
        </w:rPr>
        <w:t>項規定，監察院經各該委員會之審查及決議，得提糾正案，移送行政院及其有關部會，促其注意改善。換言之，非屬行政院及其有關部會之工作及設施有違法或失職者，不得提出糾正。</w:t>
      </w:r>
      <w:r w:rsidR="009D24BB" w:rsidRPr="00A973A2">
        <w:rPr>
          <w:rFonts w:hint="eastAsia"/>
        </w:rPr>
        <w:t>現行制度下，監察院行使調查職權，提出調查報告，得就調查報告提出糾正案文者，僅限於行政院</w:t>
      </w:r>
      <w:r w:rsidR="0023708E" w:rsidRPr="00A973A2">
        <w:rPr>
          <w:rFonts w:hAnsi="標楷體" w:hint="eastAsia"/>
          <w:szCs w:val="32"/>
        </w:rPr>
        <w:t>及其所屬機關</w:t>
      </w:r>
      <w:r w:rsidR="009D24BB" w:rsidRPr="00A973A2">
        <w:rPr>
          <w:rFonts w:hint="eastAsia"/>
        </w:rPr>
        <w:t>，係採行政機關說，而非採是否具有實質意義之行政功能，故就其他各院（考試院、司法院、立法院）涉及行政</w:t>
      </w:r>
      <w:r w:rsidR="0023708E" w:rsidRPr="00A973A2">
        <w:rPr>
          <w:rFonts w:hint="eastAsia"/>
        </w:rPr>
        <w:t>違失</w:t>
      </w:r>
      <w:r w:rsidR="009D24BB" w:rsidRPr="00A973A2">
        <w:rPr>
          <w:rFonts w:hint="eastAsia"/>
        </w:rPr>
        <w:t>部分，僅能將調查報告建請各院改進</w:t>
      </w:r>
      <w:r w:rsidR="009D24BB" w:rsidRPr="00A973A2">
        <w:rPr>
          <w:rStyle w:val="aff"/>
          <w:rFonts w:hAnsi="標楷體"/>
          <w:szCs w:val="32"/>
        </w:rPr>
        <w:footnoteReference w:id="6"/>
      </w:r>
      <w:r w:rsidR="009D24BB" w:rsidRPr="00A973A2">
        <w:rPr>
          <w:rFonts w:hint="eastAsia"/>
        </w:rPr>
        <w:t>，並不發生後續糾正之效果，合先敘明</w:t>
      </w:r>
    </w:p>
    <w:p w:rsidR="00C13F12" w:rsidRPr="00A973A2" w:rsidRDefault="00C13F12" w:rsidP="0023708E">
      <w:pPr>
        <w:pStyle w:val="3"/>
        <w:rPr>
          <w:b/>
        </w:rPr>
      </w:pPr>
      <w:r w:rsidRPr="00A973A2">
        <w:rPr>
          <w:rFonts w:hint="eastAsia"/>
          <w:b/>
        </w:rPr>
        <w:t>監察院提出糾正案，應移送行政院或有關部會，促其注意改善</w:t>
      </w:r>
      <w:r w:rsidR="009D24BB" w:rsidRPr="00A973A2">
        <w:rPr>
          <w:rFonts w:hint="eastAsia"/>
          <w:b/>
        </w:rPr>
        <w:t>，</w:t>
      </w:r>
      <w:r w:rsidRPr="00A973A2">
        <w:rPr>
          <w:rFonts w:hint="eastAsia"/>
          <w:b/>
        </w:rPr>
        <w:t>被糾正機關應於</w:t>
      </w:r>
      <w:r w:rsidR="0023708E" w:rsidRPr="00A973A2">
        <w:rPr>
          <w:rFonts w:hint="eastAsia"/>
          <w:b/>
        </w:rPr>
        <w:t>2</w:t>
      </w:r>
      <w:r w:rsidRPr="00A973A2">
        <w:rPr>
          <w:rFonts w:hint="eastAsia"/>
          <w:b/>
        </w:rPr>
        <w:t>個月內改善與處置，並以書面答復監察院</w:t>
      </w:r>
      <w:r w:rsidR="00AD1168" w:rsidRPr="00A973A2">
        <w:rPr>
          <w:rFonts w:hint="eastAsia"/>
          <w:b/>
        </w:rPr>
        <w:t>，若認為處置並未妥當時產生「質問權」</w:t>
      </w:r>
      <w:r w:rsidR="0023708E" w:rsidRPr="00A973A2">
        <w:rPr>
          <w:rFonts w:hint="eastAsia"/>
          <w:b/>
        </w:rPr>
        <w:t>。</w:t>
      </w:r>
    </w:p>
    <w:p w:rsidR="00C13F12" w:rsidRPr="00A973A2" w:rsidRDefault="00C13F12" w:rsidP="0023708E">
      <w:pPr>
        <w:pStyle w:val="4"/>
      </w:pPr>
      <w:r w:rsidRPr="00A973A2">
        <w:rPr>
          <w:rFonts w:hint="eastAsia"/>
        </w:rPr>
        <w:t>依監察法第</w:t>
      </w:r>
      <w:r w:rsidR="00AD1168" w:rsidRPr="00A973A2">
        <w:rPr>
          <w:rFonts w:hint="eastAsia"/>
        </w:rPr>
        <w:t>25</w:t>
      </w:r>
      <w:r w:rsidRPr="00A973A2">
        <w:rPr>
          <w:rFonts w:hint="eastAsia"/>
        </w:rPr>
        <w:t>條規定，行政院或有關部會接到糾正案後，應即為適當之改善與處置，並應以書面答復監察院。如逾</w:t>
      </w:r>
      <w:r w:rsidR="0023708E" w:rsidRPr="00A973A2">
        <w:rPr>
          <w:rFonts w:hint="eastAsia"/>
        </w:rPr>
        <w:t>2</w:t>
      </w:r>
      <w:r w:rsidRPr="00A973A2">
        <w:rPr>
          <w:rFonts w:hint="eastAsia"/>
        </w:rPr>
        <w:t>個月仍未將改善與處置之事實答復監察院時，監察院得質問之。</w:t>
      </w:r>
    </w:p>
    <w:p w:rsidR="00C13F12" w:rsidRPr="00A973A2" w:rsidRDefault="00C13F12" w:rsidP="0023708E">
      <w:pPr>
        <w:pStyle w:val="4"/>
      </w:pPr>
      <w:r w:rsidRPr="00A973A2">
        <w:rPr>
          <w:rFonts w:hint="eastAsia"/>
        </w:rPr>
        <w:t>依監察法施行細則第</w:t>
      </w:r>
      <w:r w:rsidR="00AD1168" w:rsidRPr="00A973A2">
        <w:rPr>
          <w:rFonts w:hint="eastAsia"/>
        </w:rPr>
        <w:t>20</w:t>
      </w:r>
      <w:r w:rsidRPr="00A973A2">
        <w:rPr>
          <w:rFonts w:hint="eastAsia"/>
        </w:rPr>
        <w:t>條規定，行政院或其所屬各機關接到糾正案，逾</w:t>
      </w:r>
      <w:r w:rsidR="0023708E" w:rsidRPr="00A973A2">
        <w:rPr>
          <w:rFonts w:hint="eastAsia"/>
        </w:rPr>
        <w:t>2</w:t>
      </w:r>
      <w:r w:rsidRPr="00A973A2">
        <w:rPr>
          <w:rFonts w:hint="eastAsia"/>
        </w:rPr>
        <w:t>個月尚未將改善與處置之事實答復者，有關委員會應召開會議，得經議決以書面質問，或通知行政院或其所屬有關機關主管人員到院質問之。</w:t>
      </w:r>
    </w:p>
    <w:p w:rsidR="00AD1168" w:rsidRPr="00A973A2" w:rsidRDefault="00C13F12" w:rsidP="0023708E">
      <w:pPr>
        <w:pStyle w:val="3"/>
      </w:pPr>
      <w:r w:rsidRPr="00A973A2">
        <w:rPr>
          <w:rFonts w:hint="eastAsia"/>
        </w:rPr>
        <w:t>被糾正機關未依規定辦理之責任</w:t>
      </w:r>
      <w:r w:rsidR="00AD1168" w:rsidRPr="00A973A2">
        <w:rPr>
          <w:rFonts w:hint="eastAsia"/>
        </w:rPr>
        <w:t>，</w:t>
      </w:r>
      <w:r w:rsidR="0023708E" w:rsidRPr="00A973A2">
        <w:rPr>
          <w:rFonts w:hAnsi="標楷體" w:hint="eastAsia"/>
          <w:szCs w:val="32"/>
        </w:rPr>
        <w:t>經調查屬實者，</w:t>
      </w:r>
      <w:r w:rsidR="0023708E" w:rsidRPr="00A973A2">
        <w:rPr>
          <w:rFonts w:hint="eastAsia"/>
        </w:rPr>
        <w:t>監察院</w:t>
      </w:r>
      <w:r w:rsidR="0023708E" w:rsidRPr="00A973A2">
        <w:rPr>
          <w:rFonts w:hAnsi="標楷體" w:hint="eastAsia"/>
          <w:szCs w:val="32"/>
        </w:rPr>
        <w:t>對該主管長官</w:t>
      </w:r>
      <w:r w:rsidR="0023708E" w:rsidRPr="00A973A2">
        <w:rPr>
          <w:rFonts w:hint="eastAsia"/>
        </w:rPr>
        <w:t>行使彈劾權。</w:t>
      </w:r>
    </w:p>
    <w:p w:rsidR="00C13F12" w:rsidRPr="00A973A2" w:rsidRDefault="00C13F12" w:rsidP="00286A45">
      <w:pPr>
        <w:pStyle w:val="32"/>
        <w:ind w:left="1361" w:firstLine="680"/>
        <w:rPr>
          <w:rFonts w:hAnsi="標楷體"/>
          <w:szCs w:val="32"/>
        </w:rPr>
      </w:pPr>
      <w:r w:rsidRPr="00A973A2">
        <w:rPr>
          <w:rFonts w:hAnsi="標楷體" w:hint="eastAsia"/>
          <w:szCs w:val="32"/>
        </w:rPr>
        <w:t>依監察法施行細則第</w:t>
      </w:r>
      <w:r w:rsidR="00AD1168" w:rsidRPr="00A973A2">
        <w:rPr>
          <w:rFonts w:hAnsi="標楷體" w:hint="eastAsia"/>
          <w:szCs w:val="32"/>
        </w:rPr>
        <w:t>2</w:t>
      </w:r>
      <w:r w:rsidR="0023708E" w:rsidRPr="00A973A2">
        <w:rPr>
          <w:rFonts w:hAnsi="標楷體" w:hint="eastAsia"/>
          <w:szCs w:val="32"/>
        </w:rPr>
        <w:t>0</w:t>
      </w:r>
      <w:r w:rsidRPr="00A973A2">
        <w:rPr>
          <w:rFonts w:hAnsi="標楷體" w:hint="eastAsia"/>
          <w:szCs w:val="32"/>
        </w:rPr>
        <w:t>條之</w:t>
      </w:r>
      <w:r w:rsidR="00AD1168" w:rsidRPr="00A973A2">
        <w:rPr>
          <w:rFonts w:hAnsi="標楷體" w:hint="eastAsia"/>
          <w:szCs w:val="32"/>
        </w:rPr>
        <w:t>1</w:t>
      </w:r>
      <w:r w:rsidRPr="00A973A2">
        <w:rPr>
          <w:rFonts w:hAnsi="標楷體" w:hint="eastAsia"/>
          <w:szCs w:val="32"/>
        </w:rPr>
        <w:t>及監察院辦理糾正案件注意事項第</w:t>
      </w:r>
      <w:r w:rsidR="00AD1168" w:rsidRPr="00A973A2">
        <w:rPr>
          <w:rFonts w:hAnsi="標楷體" w:hint="eastAsia"/>
          <w:szCs w:val="32"/>
        </w:rPr>
        <w:t>13</w:t>
      </w:r>
      <w:r w:rsidRPr="00A973A2">
        <w:rPr>
          <w:rFonts w:hAnsi="標楷體" w:hint="eastAsia"/>
          <w:szCs w:val="32"/>
        </w:rPr>
        <w:t>點規定，行政院或有關部會對於糾正事項，未依監察法第</w:t>
      </w:r>
      <w:r w:rsidR="00AD1168" w:rsidRPr="00A973A2">
        <w:rPr>
          <w:rFonts w:hAnsi="標楷體" w:hint="eastAsia"/>
          <w:szCs w:val="32"/>
        </w:rPr>
        <w:t>25</w:t>
      </w:r>
      <w:r w:rsidRPr="00A973A2">
        <w:rPr>
          <w:rFonts w:hAnsi="標楷體" w:hint="eastAsia"/>
          <w:szCs w:val="32"/>
        </w:rPr>
        <w:t>條規定答復者，除依監察法施行細則第</w:t>
      </w:r>
      <w:r w:rsidR="00AD1168" w:rsidRPr="00A973A2">
        <w:rPr>
          <w:rFonts w:hAnsi="標楷體" w:hint="eastAsia"/>
          <w:szCs w:val="32"/>
        </w:rPr>
        <w:t>20</w:t>
      </w:r>
      <w:r w:rsidRPr="00A973A2">
        <w:rPr>
          <w:rFonts w:hAnsi="標楷體" w:hint="eastAsia"/>
          <w:szCs w:val="32"/>
        </w:rPr>
        <w:t>條規定辦理者，如有藉故延宕、不為適當之改善與處置情事，經監察院調查屬實者，對該主管長官，得依監</w:t>
      </w:r>
      <w:r w:rsidR="00AD1168" w:rsidRPr="00A973A2">
        <w:rPr>
          <w:rFonts w:hAnsi="標楷體" w:hint="eastAsia"/>
          <w:szCs w:val="32"/>
        </w:rPr>
        <w:t>察法第6條或第19</w:t>
      </w:r>
      <w:r w:rsidRPr="00A973A2">
        <w:rPr>
          <w:rFonts w:hAnsi="標楷體" w:hint="eastAsia"/>
          <w:szCs w:val="32"/>
        </w:rPr>
        <w:t>條規定，提案糾彈。</w:t>
      </w:r>
    </w:p>
    <w:p w:rsidR="00C13F12" w:rsidRPr="00A973A2" w:rsidRDefault="00AD1168" w:rsidP="0023708E">
      <w:pPr>
        <w:pStyle w:val="2"/>
        <w:rPr>
          <w:b/>
        </w:rPr>
      </w:pPr>
      <w:r w:rsidRPr="00A973A2">
        <w:rPr>
          <w:rFonts w:hint="eastAsia"/>
          <w:b/>
        </w:rPr>
        <w:t>監察</w:t>
      </w:r>
      <w:r w:rsidR="004C1065" w:rsidRPr="00A973A2">
        <w:rPr>
          <w:rFonts w:hint="eastAsia"/>
          <w:b/>
        </w:rPr>
        <w:t>院行使調查權</w:t>
      </w:r>
      <w:r w:rsidR="007B3C02" w:rsidRPr="00A973A2">
        <w:rPr>
          <w:rFonts w:hint="eastAsia"/>
          <w:b/>
        </w:rPr>
        <w:t>就其他各權（不含立法權）</w:t>
      </w:r>
      <w:r w:rsidR="004C1065" w:rsidRPr="00A973A2">
        <w:rPr>
          <w:rFonts w:hint="eastAsia"/>
          <w:b/>
        </w:rPr>
        <w:t>所生</w:t>
      </w:r>
      <w:r w:rsidRPr="00A973A2">
        <w:rPr>
          <w:rFonts w:hint="eastAsia"/>
          <w:b/>
        </w:rPr>
        <w:t>「法令違憲審查權」</w:t>
      </w:r>
      <w:r w:rsidR="00812751" w:rsidRPr="00A973A2">
        <w:rPr>
          <w:rFonts w:hint="eastAsia"/>
          <w:b/>
        </w:rPr>
        <w:t>之發動，</w:t>
      </w:r>
      <w:r w:rsidR="00F7563E" w:rsidRPr="00A973A2">
        <w:rPr>
          <w:rFonts w:hint="eastAsia"/>
          <w:b/>
        </w:rPr>
        <w:t>就立法權而言</w:t>
      </w:r>
      <w:r w:rsidR="00FF7718" w:rsidRPr="00A973A2">
        <w:rPr>
          <w:rFonts w:hint="eastAsia"/>
          <w:b/>
        </w:rPr>
        <w:t>，</w:t>
      </w:r>
      <w:r w:rsidR="00F7563E" w:rsidRPr="00A973A2">
        <w:rPr>
          <w:rFonts w:hint="eastAsia"/>
          <w:b/>
        </w:rPr>
        <w:t>不生任何法拘束力</w:t>
      </w:r>
      <w:r w:rsidR="00E3787A" w:rsidRPr="00A973A2">
        <w:rPr>
          <w:rFonts w:hint="eastAsia"/>
          <w:b/>
        </w:rPr>
        <w:t>，</w:t>
      </w:r>
      <w:r w:rsidR="00812751" w:rsidRPr="00A973A2">
        <w:rPr>
          <w:rFonts w:hint="eastAsia"/>
          <w:b/>
        </w:rPr>
        <w:t>並未產生「糾正」效果，</w:t>
      </w:r>
      <w:r w:rsidR="00F7563E" w:rsidRPr="00A973A2">
        <w:rPr>
          <w:rFonts w:hint="eastAsia"/>
          <w:b/>
        </w:rPr>
        <w:t>亦不能</w:t>
      </w:r>
      <w:r w:rsidR="00812751" w:rsidRPr="00A973A2">
        <w:rPr>
          <w:rFonts w:hint="eastAsia"/>
          <w:b/>
        </w:rPr>
        <w:t>代替立法權加以立法，其最終決定仍係交由釋憲機關處理</w:t>
      </w:r>
      <w:r w:rsidR="00F7563E" w:rsidRPr="00A973A2">
        <w:rPr>
          <w:rFonts w:hint="eastAsia"/>
          <w:b/>
        </w:rPr>
        <w:t>有無違憲問題</w:t>
      </w:r>
      <w:r w:rsidR="00812751" w:rsidRPr="00A973A2">
        <w:rPr>
          <w:rFonts w:hint="eastAsia"/>
          <w:b/>
        </w:rPr>
        <w:t>，並無違反權力分立原則</w:t>
      </w:r>
      <w:r w:rsidR="0060745A" w:rsidRPr="00A973A2">
        <w:rPr>
          <w:rFonts w:hint="eastAsia"/>
          <w:b/>
        </w:rPr>
        <w:t>，侵害立法權</w:t>
      </w:r>
      <w:r w:rsidR="00812751" w:rsidRPr="00A973A2">
        <w:rPr>
          <w:rFonts w:hint="eastAsia"/>
          <w:b/>
        </w:rPr>
        <w:t>。</w:t>
      </w:r>
    </w:p>
    <w:p w:rsidR="004C1065" w:rsidRPr="00A973A2" w:rsidRDefault="004C1065" w:rsidP="00286A45">
      <w:pPr>
        <w:pStyle w:val="3"/>
        <w:rPr>
          <w:rFonts w:hAnsi="標楷體"/>
          <w:b/>
          <w:szCs w:val="32"/>
        </w:rPr>
      </w:pPr>
      <w:r w:rsidRPr="00A973A2">
        <w:rPr>
          <w:rFonts w:hAnsi="標楷體" w:hint="eastAsia"/>
          <w:b/>
          <w:szCs w:val="32"/>
        </w:rPr>
        <w:t>立法委員非監察權行使對象，不得彈劾，亦即監察權</w:t>
      </w:r>
      <w:r w:rsidR="007B3C02" w:rsidRPr="00A973A2">
        <w:rPr>
          <w:rFonts w:hAnsi="標楷體" w:hint="eastAsia"/>
          <w:b/>
          <w:szCs w:val="32"/>
        </w:rPr>
        <w:t>並無實力與權力，</w:t>
      </w:r>
      <w:r w:rsidRPr="00A973A2">
        <w:rPr>
          <w:rFonts w:hAnsi="標楷體" w:hint="eastAsia"/>
          <w:b/>
          <w:szCs w:val="32"/>
        </w:rPr>
        <w:t>無從促請立法委員立法或修法。</w:t>
      </w:r>
    </w:p>
    <w:p w:rsidR="00812751" w:rsidRPr="00A973A2" w:rsidRDefault="004C1065" w:rsidP="0023708E">
      <w:pPr>
        <w:pStyle w:val="32"/>
        <w:ind w:left="1361" w:firstLine="680"/>
        <w:rPr>
          <w:rFonts w:cs="新細明體"/>
        </w:rPr>
      </w:pPr>
      <w:r w:rsidRPr="00A973A2">
        <w:rPr>
          <w:rFonts w:hint="eastAsia"/>
        </w:rPr>
        <w:t>依據司法院釋字第14號解釋稱：「查憲法與本問題有關之第</w:t>
      </w:r>
      <w:r w:rsidR="0023708E" w:rsidRPr="00A973A2">
        <w:rPr>
          <w:rFonts w:hint="eastAsia"/>
        </w:rPr>
        <w:t>97</w:t>
      </w:r>
      <w:r w:rsidRPr="00A973A2">
        <w:rPr>
          <w:rFonts w:hint="eastAsia"/>
        </w:rPr>
        <w:t>條、第</w:t>
      </w:r>
      <w:r w:rsidR="0023708E" w:rsidRPr="00A973A2">
        <w:rPr>
          <w:rFonts w:hint="eastAsia"/>
        </w:rPr>
        <w:t>98</w:t>
      </w:r>
      <w:r w:rsidRPr="00A973A2">
        <w:rPr>
          <w:rFonts w:hint="eastAsia"/>
        </w:rPr>
        <w:t>條、第</w:t>
      </w:r>
      <w:r w:rsidR="0023708E" w:rsidRPr="00A973A2">
        <w:rPr>
          <w:rFonts w:hint="eastAsia"/>
        </w:rPr>
        <w:t>99</w:t>
      </w:r>
      <w:r w:rsidRPr="00A973A2">
        <w:rPr>
          <w:rFonts w:hint="eastAsia"/>
        </w:rPr>
        <w:t>條，係由憲法草案第</w:t>
      </w:r>
      <w:r w:rsidR="0023708E" w:rsidRPr="00A973A2">
        <w:rPr>
          <w:rFonts w:hint="eastAsia"/>
        </w:rPr>
        <w:t>102</w:t>
      </w:r>
      <w:r w:rsidRPr="00A973A2">
        <w:rPr>
          <w:rFonts w:hint="eastAsia"/>
        </w:rPr>
        <w:t>條、第</w:t>
      </w:r>
      <w:r w:rsidR="0023708E" w:rsidRPr="00A973A2">
        <w:rPr>
          <w:rFonts w:hint="eastAsia"/>
        </w:rPr>
        <w:t>103</w:t>
      </w:r>
      <w:r w:rsidRPr="00A973A2">
        <w:rPr>
          <w:rFonts w:hint="eastAsia"/>
        </w:rPr>
        <w:t>條、第</w:t>
      </w:r>
      <w:r w:rsidR="0023708E" w:rsidRPr="00A973A2">
        <w:rPr>
          <w:rFonts w:hint="eastAsia"/>
        </w:rPr>
        <w:t>104</w:t>
      </w:r>
      <w:r w:rsidRPr="00A973A2">
        <w:rPr>
          <w:rFonts w:hint="eastAsia"/>
        </w:rPr>
        <w:t>條而來。第</w:t>
      </w:r>
      <w:r w:rsidR="0023708E" w:rsidRPr="00A973A2">
        <w:rPr>
          <w:rFonts w:hint="eastAsia"/>
        </w:rPr>
        <w:t>102</w:t>
      </w:r>
      <w:r w:rsidRPr="00A973A2">
        <w:rPr>
          <w:rFonts w:hint="eastAsia"/>
        </w:rPr>
        <w:t>條原稱監察院對於行政院或其各部會人員認為有違法失職情事，得提出彈劾案。第</w:t>
      </w:r>
      <w:r w:rsidR="0023708E" w:rsidRPr="00A973A2">
        <w:rPr>
          <w:rFonts w:hint="eastAsia"/>
        </w:rPr>
        <w:t>103</w:t>
      </w:r>
      <w:r w:rsidRPr="00A973A2">
        <w:rPr>
          <w:rFonts w:hint="eastAsia"/>
        </w:rPr>
        <w:t>條則為中央及地方行政人員之彈劾。第</w:t>
      </w:r>
      <w:r w:rsidR="0023708E" w:rsidRPr="00A973A2">
        <w:rPr>
          <w:rFonts w:hint="eastAsia"/>
        </w:rPr>
        <w:t>104</w:t>
      </w:r>
      <w:r w:rsidRPr="00A973A2">
        <w:rPr>
          <w:rFonts w:hint="eastAsia"/>
        </w:rPr>
        <w:t>條則為法官及考試院人員之彈劾。在制憲會議中，若干代表認為監察院彈劾權行使之對象應包括立法委員、監察委員在內。曾經提出修正案數起，主張將第</w:t>
      </w:r>
      <w:r w:rsidR="0023708E" w:rsidRPr="00A973A2">
        <w:rPr>
          <w:rFonts w:hint="eastAsia"/>
        </w:rPr>
        <w:t>102</w:t>
      </w:r>
      <w:r w:rsidRPr="00A973A2">
        <w:rPr>
          <w:rFonts w:hint="eastAsia"/>
        </w:rPr>
        <w:t>條行政院或其各部會人員改為各院及其各部會人員，包括立法院、監察院人員在內，並將第</w:t>
      </w:r>
      <w:r w:rsidR="0023708E" w:rsidRPr="00A973A2">
        <w:rPr>
          <w:rFonts w:hint="eastAsia"/>
        </w:rPr>
        <w:t>104</w:t>
      </w:r>
      <w:r w:rsidRPr="00A973A2">
        <w:rPr>
          <w:rFonts w:hint="eastAsia"/>
        </w:rPr>
        <w:t>條有關法官及考試院人員之條文刪去。討論結果，對此毫無疑義之修正文均未通過，即所以表示立監委員係屬除外。若謂同時，復以中央公務人員字樣可藉解釋之途徑，使立監委員包括在內，殊難自圓其說。在制憲者之意，當以立監委員為直接或間接之民意代表，均不認其為監察權行使之對象。至立監兩院其他人員與國民大會職員，總統府及其所屬機關職員，自應屬監察權行使範圍。故憲法除規定行政、司法、考試三院外，復於第</w:t>
      </w:r>
      <w:r w:rsidR="00E43A6E" w:rsidRPr="00A973A2">
        <w:rPr>
          <w:rFonts w:hint="eastAsia"/>
        </w:rPr>
        <w:t>97</w:t>
      </w:r>
      <w:r w:rsidRPr="00A973A2">
        <w:rPr>
          <w:rFonts w:hint="eastAsia"/>
        </w:rPr>
        <w:t>條第</w:t>
      </w:r>
      <w:r w:rsidR="00E43A6E" w:rsidRPr="00A973A2">
        <w:rPr>
          <w:rFonts w:hint="eastAsia"/>
        </w:rPr>
        <w:t>2</w:t>
      </w:r>
      <w:r w:rsidRPr="00A973A2">
        <w:rPr>
          <w:rFonts w:hint="eastAsia"/>
        </w:rPr>
        <w:t>項及第</w:t>
      </w:r>
      <w:r w:rsidR="00E43A6E" w:rsidRPr="00A973A2">
        <w:rPr>
          <w:rFonts w:hint="eastAsia"/>
        </w:rPr>
        <w:t>98</w:t>
      </w:r>
      <w:r w:rsidRPr="00A973A2">
        <w:rPr>
          <w:rFonts w:hint="eastAsia"/>
        </w:rPr>
        <w:t>條，另有中央公務人員之規定。國民大會代表為民意代表，其非監察權行使對象更不待言。憲法草案及各修正案，對於國大代表均無可以彈劾之擬議，與立、監委員包括在內之各修正案不予採納者，實為制憲時一貫之意思。自治人員之屬於議事機關者，如省縣議會議員，亦為民意代表，依上</w:t>
      </w:r>
      <w:r w:rsidRPr="00A973A2">
        <w:rPr>
          <w:rFonts w:cs="新細明體" w:hint="eastAsia"/>
        </w:rPr>
        <w:t>述理由，自亦非監察權行使之對象。」故立法委員並非彈劾權之行使對象，監察權無從促請立法權修法</w:t>
      </w:r>
      <w:r w:rsidR="00E3787A" w:rsidRPr="00A973A2">
        <w:rPr>
          <w:rFonts w:cs="新細明體" w:hint="eastAsia"/>
        </w:rPr>
        <w:t>之</w:t>
      </w:r>
      <w:r w:rsidR="004027D3" w:rsidRPr="00A973A2">
        <w:rPr>
          <w:rFonts w:cs="新細明體" w:hint="eastAsia"/>
        </w:rPr>
        <w:t>「</w:t>
      </w:r>
      <w:r w:rsidR="00E3787A" w:rsidRPr="00A973A2">
        <w:rPr>
          <w:rFonts w:cs="新細明體" w:hint="eastAsia"/>
        </w:rPr>
        <w:t>權力與實力</w:t>
      </w:r>
      <w:r w:rsidR="004027D3" w:rsidRPr="00A973A2">
        <w:rPr>
          <w:rFonts w:cs="新細明體" w:hint="eastAsia"/>
        </w:rPr>
        <w:t>」</w:t>
      </w:r>
      <w:r w:rsidR="00E3787A" w:rsidRPr="00A973A2">
        <w:rPr>
          <w:rFonts w:cs="新細明體" w:hint="eastAsia"/>
        </w:rPr>
        <w:t>，不可能產生間接糾正立法權之情形</w:t>
      </w:r>
      <w:r w:rsidRPr="00A973A2">
        <w:rPr>
          <w:rFonts w:cs="新細明體" w:hint="eastAsia"/>
        </w:rPr>
        <w:t>。</w:t>
      </w:r>
    </w:p>
    <w:p w:rsidR="0060745A" w:rsidRPr="00A973A2" w:rsidRDefault="004C1065" w:rsidP="00286A45">
      <w:pPr>
        <w:pStyle w:val="3"/>
        <w:rPr>
          <w:rFonts w:hAnsi="標楷體"/>
          <w:szCs w:val="32"/>
        </w:rPr>
      </w:pPr>
      <w:r w:rsidRPr="00A973A2">
        <w:rPr>
          <w:rFonts w:hAnsi="標楷體" w:hint="eastAsia"/>
          <w:szCs w:val="32"/>
        </w:rPr>
        <w:t>監察院</w:t>
      </w:r>
      <w:r w:rsidR="000F21D3" w:rsidRPr="00A973A2">
        <w:rPr>
          <w:rFonts w:hAnsi="標楷體" w:hint="eastAsia"/>
          <w:szCs w:val="32"/>
        </w:rPr>
        <w:t>作為憲法最高監察機關，</w:t>
      </w:r>
      <w:r w:rsidRPr="00A973A2">
        <w:rPr>
          <w:rFonts w:hAnsi="標楷體" w:hint="eastAsia"/>
          <w:szCs w:val="32"/>
        </w:rPr>
        <w:t>行使調查權所生「法</w:t>
      </w:r>
      <w:r w:rsidR="004027D3" w:rsidRPr="00A973A2">
        <w:rPr>
          <w:rFonts w:hAnsi="標楷體" w:hint="eastAsia"/>
          <w:szCs w:val="32"/>
        </w:rPr>
        <w:t>令違憲審查權」</w:t>
      </w:r>
      <w:r w:rsidRPr="00A973A2">
        <w:rPr>
          <w:rFonts w:hAnsi="標楷體" w:hint="eastAsia"/>
          <w:szCs w:val="32"/>
        </w:rPr>
        <w:t>發動</w:t>
      </w:r>
      <w:r w:rsidR="00F7563E" w:rsidRPr="00A973A2">
        <w:rPr>
          <w:rFonts w:hAnsi="標楷體" w:hint="eastAsia"/>
          <w:szCs w:val="32"/>
        </w:rPr>
        <w:t>之本質</w:t>
      </w:r>
      <w:r w:rsidRPr="00A973A2">
        <w:rPr>
          <w:rFonts w:hAnsi="標楷體" w:hint="eastAsia"/>
          <w:szCs w:val="32"/>
        </w:rPr>
        <w:t>，並</w:t>
      </w:r>
      <w:r w:rsidR="00F7563E" w:rsidRPr="00A973A2">
        <w:rPr>
          <w:rFonts w:hAnsi="標楷體" w:hint="eastAsia"/>
          <w:szCs w:val="32"/>
        </w:rPr>
        <w:t>非就立法行為，而係基於監察權之事物本質，作為憲法最高監察機關，</w:t>
      </w:r>
      <w:r w:rsidR="00FF7718" w:rsidRPr="00A973A2">
        <w:rPr>
          <w:rFonts w:hAnsi="標楷體" w:hint="eastAsia"/>
          <w:szCs w:val="32"/>
        </w:rPr>
        <w:t>基於</w:t>
      </w:r>
      <w:r w:rsidR="0087345F" w:rsidRPr="00A973A2">
        <w:rPr>
          <w:rFonts w:hAnsi="標楷體" w:hint="eastAsia"/>
          <w:szCs w:val="32"/>
        </w:rPr>
        <w:t>「</w:t>
      </w:r>
      <w:r w:rsidR="00FF7718" w:rsidRPr="00A973A2">
        <w:rPr>
          <w:rFonts w:hAnsi="標楷體" w:hint="eastAsia"/>
          <w:szCs w:val="32"/>
        </w:rPr>
        <w:t>機關功能最適理論</w:t>
      </w:r>
      <w:r w:rsidR="0087345F" w:rsidRPr="00A973A2">
        <w:rPr>
          <w:rFonts w:hAnsi="標楷體" w:hint="eastAsia"/>
          <w:szCs w:val="32"/>
        </w:rPr>
        <w:t>」</w:t>
      </w:r>
      <w:r w:rsidR="00FF7718" w:rsidRPr="00A973A2">
        <w:rPr>
          <w:rFonts w:hAnsi="標楷體" w:hint="eastAsia"/>
          <w:szCs w:val="32"/>
        </w:rPr>
        <w:t>，除作為監察機關外</w:t>
      </w:r>
      <w:r w:rsidR="004027D3" w:rsidRPr="00A973A2">
        <w:rPr>
          <w:rFonts w:hAnsi="標楷體" w:hint="eastAsia"/>
          <w:szCs w:val="32"/>
        </w:rPr>
        <w:t>，</w:t>
      </w:r>
      <w:r w:rsidR="00FF7718" w:rsidRPr="00A973A2">
        <w:rPr>
          <w:rFonts w:hAnsi="標楷體" w:hint="eastAsia"/>
          <w:szCs w:val="32"/>
        </w:rPr>
        <w:t>亦具有人權保障之功能，</w:t>
      </w:r>
      <w:r w:rsidR="00F7563E" w:rsidRPr="00A973A2">
        <w:rPr>
          <w:rFonts w:hAnsi="標楷體" w:hint="eastAsia"/>
          <w:szCs w:val="32"/>
        </w:rPr>
        <w:t>對於其他各權（不含</w:t>
      </w:r>
      <w:r w:rsidR="000F21D3" w:rsidRPr="00A973A2">
        <w:rPr>
          <w:rFonts w:hAnsi="標楷體" w:hint="eastAsia"/>
          <w:szCs w:val="32"/>
        </w:rPr>
        <w:t>立法</w:t>
      </w:r>
      <w:r w:rsidR="00F7563E" w:rsidRPr="00A973A2">
        <w:rPr>
          <w:rFonts w:hAnsi="標楷體" w:hint="eastAsia"/>
          <w:szCs w:val="32"/>
        </w:rPr>
        <w:t>權）行為，</w:t>
      </w:r>
      <w:r w:rsidR="004027D3" w:rsidRPr="00A973A2">
        <w:rPr>
          <w:rFonts w:hAnsi="標楷體" w:hint="eastAsia"/>
          <w:szCs w:val="32"/>
        </w:rPr>
        <w:t>其事物本質，</w:t>
      </w:r>
      <w:r w:rsidR="00F7563E" w:rsidRPr="00A973A2">
        <w:rPr>
          <w:rFonts w:hAnsi="標楷體" w:hint="eastAsia"/>
          <w:szCs w:val="32"/>
        </w:rPr>
        <w:t>具有合法性監督與合目的監督</w:t>
      </w:r>
      <w:r w:rsidR="004027D3" w:rsidRPr="00A973A2">
        <w:rPr>
          <w:rFonts w:hAnsi="標楷體" w:hint="eastAsia"/>
          <w:szCs w:val="32"/>
        </w:rPr>
        <w:t>，</w:t>
      </w:r>
      <w:r w:rsidR="00FF7718" w:rsidRPr="00A973A2">
        <w:rPr>
          <w:rFonts w:hAnsi="標楷體" w:hint="eastAsia"/>
          <w:szCs w:val="32"/>
        </w:rPr>
        <w:t>尤屬當然</w:t>
      </w:r>
      <w:r w:rsidR="00F7563E" w:rsidRPr="00A973A2">
        <w:rPr>
          <w:rFonts w:hAnsi="標楷體" w:hint="eastAsia"/>
          <w:szCs w:val="32"/>
        </w:rPr>
        <w:t>，在合法性監督下，其所謂合法當然必須</w:t>
      </w:r>
      <w:r w:rsidR="00FF7718" w:rsidRPr="00A973A2">
        <w:rPr>
          <w:rFonts w:hAnsi="標楷體" w:hint="eastAsia"/>
          <w:szCs w:val="32"/>
        </w:rPr>
        <w:t>遵照</w:t>
      </w:r>
      <w:r w:rsidR="000F21D3" w:rsidRPr="00A973A2">
        <w:rPr>
          <w:rFonts w:hAnsi="標楷體" w:hint="eastAsia"/>
          <w:szCs w:val="32"/>
        </w:rPr>
        <w:t>憲法</w:t>
      </w:r>
      <w:r w:rsidR="00092F56" w:rsidRPr="00A973A2">
        <w:rPr>
          <w:rFonts w:hAnsi="標楷體" w:hint="eastAsia"/>
          <w:szCs w:val="32"/>
        </w:rPr>
        <w:t>第171條</w:t>
      </w:r>
      <w:r w:rsidR="000F21D3" w:rsidRPr="00A973A2">
        <w:rPr>
          <w:rFonts w:hAnsi="標楷體" w:hint="eastAsia"/>
          <w:szCs w:val="32"/>
        </w:rPr>
        <w:t>規定：「</w:t>
      </w:r>
      <w:r w:rsidR="00092F56" w:rsidRPr="00A973A2">
        <w:rPr>
          <w:rFonts w:hAnsi="標楷體" w:hint="eastAsia"/>
          <w:szCs w:val="32"/>
        </w:rPr>
        <w:t>法律與憲法牴觸者無效。法律與憲法有無牴觸發生疑義時，由司法院解釋之</w:t>
      </w:r>
      <w:r w:rsidR="000F21D3" w:rsidRPr="00A973A2">
        <w:rPr>
          <w:rFonts w:hAnsi="標楷體" w:hint="eastAsia"/>
          <w:szCs w:val="32"/>
        </w:rPr>
        <w:t>。」</w:t>
      </w:r>
      <w:r w:rsidR="0087345F" w:rsidRPr="00A973A2">
        <w:rPr>
          <w:rFonts w:hAnsi="標楷體" w:hint="eastAsia"/>
          <w:szCs w:val="32"/>
          <w:u w:val="single"/>
        </w:rPr>
        <w:t>行使合法</w:t>
      </w:r>
      <w:r w:rsidR="000F21D3" w:rsidRPr="00A973A2">
        <w:rPr>
          <w:rFonts w:hAnsi="標楷體" w:hint="eastAsia"/>
          <w:szCs w:val="32"/>
          <w:u w:val="single"/>
        </w:rPr>
        <w:t>性審查</w:t>
      </w:r>
      <w:r w:rsidR="0087345F" w:rsidRPr="00A973A2">
        <w:rPr>
          <w:rFonts w:hAnsi="標楷體" w:hint="eastAsia"/>
          <w:szCs w:val="32"/>
          <w:u w:val="single"/>
        </w:rPr>
        <w:t>時</w:t>
      </w:r>
      <w:r w:rsidR="000F21D3" w:rsidRPr="00A973A2">
        <w:rPr>
          <w:rFonts w:hAnsi="標楷體" w:hint="eastAsia"/>
          <w:szCs w:val="32"/>
          <w:u w:val="single"/>
        </w:rPr>
        <w:t>，若發生有違憲疑義時，作為最高監察機關將此交由司法院</w:t>
      </w:r>
      <w:r w:rsidR="00FC6DE3" w:rsidRPr="00A973A2">
        <w:rPr>
          <w:rFonts w:hAnsi="標楷體" w:hint="eastAsia"/>
          <w:szCs w:val="32"/>
          <w:u w:val="single"/>
        </w:rPr>
        <w:t>解釋</w:t>
      </w:r>
      <w:r w:rsidR="000F21D3" w:rsidRPr="00A973A2">
        <w:rPr>
          <w:rFonts w:hAnsi="標楷體" w:hint="eastAsia"/>
          <w:szCs w:val="32"/>
          <w:u w:val="single"/>
        </w:rPr>
        <w:t>，有何爭議？</w:t>
      </w:r>
      <w:r w:rsidR="004027D3" w:rsidRPr="00A973A2">
        <w:rPr>
          <w:rFonts w:hAnsi="標楷體" w:hint="eastAsia"/>
          <w:szCs w:val="32"/>
        </w:rPr>
        <w:t>有何不妥？</w:t>
      </w:r>
      <w:r w:rsidR="000F21D3" w:rsidRPr="00A973A2">
        <w:rPr>
          <w:rFonts w:hAnsi="標楷體" w:hint="eastAsia"/>
          <w:szCs w:val="32"/>
        </w:rPr>
        <w:t>在司法院大法官審理案件法第5條第1項第1款的要件解釋，</w:t>
      </w:r>
      <w:r w:rsidR="00E3787A" w:rsidRPr="00A973A2">
        <w:rPr>
          <w:rFonts w:hAnsi="標楷體" w:hint="eastAsia"/>
          <w:szCs w:val="32"/>
        </w:rPr>
        <w:t>豈能</w:t>
      </w:r>
      <w:r w:rsidR="004027D3" w:rsidRPr="00A973A2">
        <w:rPr>
          <w:rFonts w:hAnsi="標楷體" w:hint="eastAsia"/>
          <w:szCs w:val="32"/>
        </w:rPr>
        <w:t>認為</w:t>
      </w:r>
      <w:r w:rsidR="000F21D3" w:rsidRPr="00A973A2">
        <w:rPr>
          <w:rFonts w:hAnsi="標楷體" w:hint="eastAsia"/>
          <w:szCs w:val="32"/>
        </w:rPr>
        <w:t>監察院作為</w:t>
      </w:r>
      <w:r w:rsidR="00E43A6E" w:rsidRPr="00A973A2">
        <w:rPr>
          <w:rFonts w:hAnsi="標楷體" w:hint="eastAsia"/>
          <w:szCs w:val="32"/>
        </w:rPr>
        <w:t>憲法</w:t>
      </w:r>
      <w:r w:rsidR="000F21D3" w:rsidRPr="00A973A2">
        <w:rPr>
          <w:rFonts w:hAnsi="標楷體" w:hint="eastAsia"/>
          <w:szCs w:val="32"/>
        </w:rPr>
        <w:t>最高監察機關，於適用法律時，發見該法律與憲法有無牴觸發生疑義時</w:t>
      </w:r>
      <w:r w:rsidR="00FF7718" w:rsidRPr="00A973A2">
        <w:rPr>
          <w:rFonts w:hAnsi="標楷體" w:hint="eastAsia"/>
          <w:szCs w:val="32"/>
        </w:rPr>
        <w:t>，不能</w:t>
      </w:r>
      <w:r w:rsidR="0060745A" w:rsidRPr="00A973A2">
        <w:rPr>
          <w:rFonts w:hAnsi="標楷體" w:hint="eastAsia"/>
          <w:szCs w:val="32"/>
        </w:rPr>
        <w:t>依據</w:t>
      </w:r>
      <w:r w:rsidR="00FF7718" w:rsidRPr="00A973A2">
        <w:rPr>
          <w:rFonts w:hAnsi="標楷體" w:hint="eastAsia"/>
          <w:szCs w:val="32"/>
        </w:rPr>
        <w:t>憲法第171條規定送請主管機關司法院解釋之理，</w:t>
      </w:r>
      <w:r w:rsidR="0060745A" w:rsidRPr="00A973A2">
        <w:rPr>
          <w:rFonts w:hAnsi="標楷體" w:hint="eastAsia"/>
          <w:szCs w:val="32"/>
        </w:rPr>
        <w:t>若</w:t>
      </w:r>
      <w:r w:rsidR="00FF7718" w:rsidRPr="00A973A2">
        <w:rPr>
          <w:rFonts w:hAnsi="標楷體" w:hint="eastAsia"/>
          <w:szCs w:val="32"/>
        </w:rPr>
        <w:t>如此解釋</w:t>
      </w:r>
      <w:r w:rsidR="0087345F" w:rsidRPr="00A973A2">
        <w:rPr>
          <w:rFonts w:hAnsi="標楷體" w:hint="eastAsia"/>
          <w:szCs w:val="32"/>
        </w:rPr>
        <w:t>則似</w:t>
      </w:r>
      <w:r w:rsidR="002F3203" w:rsidRPr="00A973A2">
        <w:rPr>
          <w:rFonts w:hAnsi="標楷體" w:hint="eastAsia"/>
          <w:szCs w:val="32"/>
        </w:rPr>
        <w:t>課以</w:t>
      </w:r>
      <w:r w:rsidR="0087345F" w:rsidRPr="00A973A2">
        <w:rPr>
          <w:rFonts w:hAnsi="標楷體" w:hint="eastAsia"/>
          <w:szCs w:val="32"/>
        </w:rPr>
        <w:t>或</w:t>
      </w:r>
      <w:r w:rsidR="002F3203" w:rsidRPr="00A973A2">
        <w:rPr>
          <w:rFonts w:hAnsi="標楷體" w:hint="eastAsia"/>
          <w:szCs w:val="32"/>
        </w:rPr>
        <w:t>增加</w:t>
      </w:r>
      <w:r w:rsidR="00E43A6E" w:rsidRPr="00A973A2">
        <w:rPr>
          <w:rFonts w:hAnsi="標楷體" w:hint="eastAsia"/>
          <w:szCs w:val="32"/>
        </w:rPr>
        <w:t>司法院大法官審理案件法</w:t>
      </w:r>
      <w:r w:rsidR="002F3203" w:rsidRPr="00A973A2">
        <w:rPr>
          <w:rFonts w:hAnsi="標楷體" w:hint="eastAsia"/>
          <w:szCs w:val="32"/>
        </w:rPr>
        <w:t>所無之例外條件，或</w:t>
      </w:r>
      <w:r w:rsidR="000B0943" w:rsidRPr="00A973A2">
        <w:rPr>
          <w:rFonts w:hAnsi="標楷體" w:hint="eastAsia"/>
          <w:szCs w:val="32"/>
        </w:rPr>
        <w:t>創造過去就</w:t>
      </w:r>
      <w:r w:rsidR="00E43A6E" w:rsidRPr="00A973A2">
        <w:rPr>
          <w:rFonts w:hAnsi="標楷體" w:hint="eastAsia"/>
          <w:szCs w:val="32"/>
        </w:rPr>
        <w:t>司法院大法官審理案件法</w:t>
      </w:r>
      <w:r w:rsidR="000B0943" w:rsidRPr="00A973A2">
        <w:rPr>
          <w:rFonts w:hAnsi="標楷體" w:hint="eastAsia"/>
          <w:szCs w:val="32"/>
        </w:rPr>
        <w:t>相關要件之程序解釋，而不受理本件，</w:t>
      </w:r>
      <w:r w:rsidR="00FF7718" w:rsidRPr="00A973A2">
        <w:rPr>
          <w:rFonts w:hAnsi="標楷體" w:hint="eastAsia"/>
          <w:szCs w:val="32"/>
        </w:rPr>
        <w:t>難道</w:t>
      </w:r>
      <w:r w:rsidR="0087345F" w:rsidRPr="00A973A2">
        <w:rPr>
          <w:rFonts w:hAnsi="標楷體" w:hint="eastAsia"/>
          <w:szCs w:val="32"/>
        </w:rPr>
        <w:t>就</w:t>
      </w:r>
      <w:r w:rsidR="00FF7718" w:rsidRPr="00A973A2">
        <w:rPr>
          <w:rFonts w:hAnsi="標楷體" w:hint="eastAsia"/>
          <w:szCs w:val="32"/>
        </w:rPr>
        <w:t>不違背憲法有關監察權之規定與憲法第171條嗎？</w:t>
      </w:r>
      <w:r w:rsidR="0060745A" w:rsidRPr="00A973A2">
        <w:rPr>
          <w:rFonts w:hAnsi="標楷體" w:hint="eastAsia"/>
          <w:szCs w:val="32"/>
        </w:rPr>
        <w:t>難道不侵害監察院</w:t>
      </w:r>
      <w:r w:rsidR="00C64C24" w:rsidRPr="00A973A2">
        <w:rPr>
          <w:rFonts w:hAnsi="標楷體" w:hint="eastAsia"/>
          <w:szCs w:val="32"/>
        </w:rPr>
        <w:t>作為我國</w:t>
      </w:r>
      <w:r w:rsidR="00E25AA8" w:rsidRPr="00A973A2">
        <w:rPr>
          <w:rFonts w:hAnsi="標楷體" w:hint="eastAsia"/>
          <w:szCs w:val="32"/>
        </w:rPr>
        <w:t>最高監察機關之</w:t>
      </w:r>
      <w:r w:rsidR="0060745A" w:rsidRPr="00A973A2">
        <w:rPr>
          <w:rFonts w:hAnsi="標楷體" w:hint="eastAsia"/>
          <w:szCs w:val="32"/>
        </w:rPr>
        <w:t>人權保障功能嗎？</w:t>
      </w:r>
      <w:r w:rsidR="0060745A" w:rsidRPr="00A973A2">
        <w:rPr>
          <w:rFonts w:hAnsi="標楷體" w:hint="eastAsia"/>
          <w:b/>
          <w:szCs w:val="32"/>
          <w:u w:val="single"/>
        </w:rPr>
        <w:t>監察權行使調查權時，就「法令違憲審查權」之發動，就立法權而言，</w:t>
      </w:r>
      <w:r w:rsidR="004027D3" w:rsidRPr="00A973A2">
        <w:rPr>
          <w:rFonts w:hAnsi="標楷體" w:hint="eastAsia"/>
          <w:b/>
          <w:szCs w:val="32"/>
          <w:u w:val="single"/>
        </w:rPr>
        <w:t>實</w:t>
      </w:r>
      <w:r w:rsidR="0060745A" w:rsidRPr="00A973A2">
        <w:rPr>
          <w:rFonts w:hAnsi="標楷體" w:hint="eastAsia"/>
          <w:b/>
          <w:szCs w:val="32"/>
          <w:u w:val="single"/>
        </w:rPr>
        <w:t>不生任何法拘束力</w:t>
      </w:r>
      <w:r w:rsidR="00E43A6E" w:rsidRPr="00A973A2">
        <w:rPr>
          <w:rFonts w:hAnsi="標楷體" w:hint="eastAsia"/>
          <w:b/>
          <w:szCs w:val="32"/>
          <w:u w:val="single"/>
        </w:rPr>
        <w:t>，</w:t>
      </w:r>
      <w:r w:rsidR="0060745A" w:rsidRPr="00A973A2">
        <w:rPr>
          <w:rFonts w:hAnsi="標楷體" w:hint="eastAsia"/>
          <w:b/>
          <w:szCs w:val="32"/>
          <w:u w:val="single"/>
        </w:rPr>
        <w:t>並未產生「糾正」效果，亦不能代替立法權加以立法，其最終決定仍係交由釋憲機關處理有無違憲問題，當無違反權力分立原則</w:t>
      </w:r>
      <w:r w:rsidR="0060745A" w:rsidRPr="00A973A2">
        <w:rPr>
          <w:rFonts w:hAnsi="標楷體" w:hint="eastAsia"/>
          <w:szCs w:val="32"/>
        </w:rPr>
        <w:t>，此亦為自明之理。</w:t>
      </w:r>
    </w:p>
    <w:p w:rsidR="00C13F12" w:rsidRPr="00A973A2" w:rsidRDefault="00341940" w:rsidP="00341940">
      <w:pPr>
        <w:pStyle w:val="2"/>
        <w:rPr>
          <w:rFonts w:hAnsi="標楷體"/>
          <w:b/>
          <w:szCs w:val="32"/>
        </w:rPr>
      </w:pPr>
      <w:r w:rsidRPr="00A973A2">
        <w:rPr>
          <w:rFonts w:hAnsi="標楷體" w:hint="eastAsia"/>
          <w:b/>
          <w:szCs w:val="32"/>
        </w:rPr>
        <w:t>依據憲法第96條與第97條後段規定，所生對於其他各權（立法權除外）行為，從行憲以來形成「合法性監督」與「合目的性」監督</w:t>
      </w:r>
      <w:r w:rsidR="00021CF2" w:rsidRPr="00A973A2">
        <w:rPr>
          <w:rFonts w:hAnsi="標楷體" w:hint="eastAsia"/>
          <w:b/>
          <w:szCs w:val="32"/>
        </w:rPr>
        <w:t>，並未侵害各</w:t>
      </w:r>
      <w:r w:rsidR="007B3C02" w:rsidRPr="00A973A2">
        <w:rPr>
          <w:rFonts w:hAnsi="標楷體" w:hint="eastAsia"/>
          <w:b/>
          <w:szCs w:val="32"/>
        </w:rPr>
        <w:t>憲法</w:t>
      </w:r>
      <w:r w:rsidR="00021CF2" w:rsidRPr="00A973A2">
        <w:rPr>
          <w:rFonts w:hAnsi="標楷體" w:hint="eastAsia"/>
          <w:b/>
          <w:szCs w:val="32"/>
        </w:rPr>
        <w:t>權力</w:t>
      </w:r>
      <w:r w:rsidR="007B3C02" w:rsidRPr="00A973A2">
        <w:rPr>
          <w:rFonts w:hAnsi="標楷體" w:hint="eastAsia"/>
          <w:b/>
          <w:szCs w:val="32"/>
        </w:rPr>
        <w:t>機關</w:t>
      </w:r>
      <w:r w:rsidR="00021CF2" w:rsidRPr="00A973A2">
        <w:rPr>
          <w:rFonts w:hAnsi="標楷體" w:hint="eastAsia"/>
          <w:b/>
          <w:szCs w:val="32"/>
        </w:rPr>
        <w:t>之核心領域，反而</w:t>
      </w:r>
      <w:r w:rsidR="007B3C02" w:rsidRPr="00A973A2">
        <w:rPr>
          <w:rFonts w:hAnsi="標楷體" w:hint="eastAsia"/>
          <w:b/>
          <w:szCs w:val="32"/>
        </w:rPr>
        <w:t>與司法權相互配合，</w:t>
      </w:r>
      <w:r w:rsidR="00021CF2" w:rsidRPr="00A973A2">
        <w:rPr>
          <w:rFonts w:hAnsi="標楷體" w:hint="eastAsia"/>
          <w:b/>
          <w:szCs w:val="32"/>
        </w:rPr>
        <w:t>確保憲法具有</w:t>
      </w:r>
      <w:r w:rsidR="002D3785" w:rsidRPr="00A973A2">
        <w:rPr>
          <w:rFonts w:hAnsi="標楷體" w:hint="eastAsia"/>
          <w:b/>
          <w:szCs w:val="32"/>
        </w:rPr>
        <w:t>「</w:t>
      </w:r>
      <w:r w:rsidR="00021CF2" w:rsidRPr="00A973A2">
        <w:rPr>
          <w:rFonts w:hAnsi="標楷體" w:hint="eastAsia"/>
          <w:b/>
          <w:szCs w:val="32"/>
        </w:rPr>
        <w:t>最高規範性</w:t>
      </w:r>
      <w:r w:rsidR="002D3785" w:rsidRPr="00A973A2">
        <w:rPr>
          <w:rFonts w:hAnsi="標楷體" w:hint="eastAsia"/>
          <w:b/>
          <w:szCs w:val="32"/>
        </w:rPr>
        <w:t>」</w:t>
      </w:r>
      <w:r w:rsidR="00021CF2" w:rsidRPr="00A973A2">
        <w:rPr>
          <w:rFonts w:hAnsi="標楷體" w:hint="eastAsia"/>
          <w:b/>
          <w:szCs w:val="32"/>
        </w:rPr>
        <w:t>之功能</w:t>
      </w:r>
      <w:r w:rsidR="00DD2460" w:rsidRPr="00A973A2">
        <w:rPr>
          <w:rFonts w:hAnsi="標楷體" w:hint="eastAsia"/>
          <w:b/>
          <w:szCs w:val="32"/>
        </w:rPr>
        <w:t>，</w:t>
      </w:r>
      <w:r w:rsidR="007B3C02" w:rsidRPr="00A973A2">
        <w:rPr>
          <w:rFonts w:hAnsi="標楷體" w:hint="eastAsia"/>
          <w:b/>
          <w:szCs w:val="32"/>
        </w:rPr>
        <w:t>保障</w:t>
      </w:r>
      <w:r w:rsidR="00DD2460" w:rsidRPr="00A973A2">
        <w:rPr>
          <w:rFonts w:hAnsi="標楷體" w:hint="eastAsia"/>
          <w:b/>
          <w:szCs w:val="32"/>
        </w:rPr>
        <w:t>抽象違憲審查權之</w:t>
      </w:r>
      <w:r w:rsidR="007B3C02" w:rsidRPr="00A973A2">
        <w:rPr>
          <w:rFonts w:hAnsi="標楷體" w:hint="eastAsia"/>
          <w:b/>
          <w:szCs w:val="32"/>
        </w:rPr>
        <w:t>實踐</w:t>
      </w:r>
      <w:r w:rsidR="00BE5F36" w:rsidRPr="00A973A2">
        <w:rPr>
          <w:rFonts w:hAnsi="標楷體" w:hint="eastAsia"/>
          <w:b/>
          <w:szCs w:val="32"/>
        </w:rPr>
        <w:t>。</w:t>
      </w:r>
    </w:p>
    <w:p w:rsidR="002D4840" w:rsidRPr="00A973A2" w:rsidRDefault="002D4840" w:rsidP="003E68B8">
      <w:pPr>
        <w:pStyle w:val="3"/>
        <w:rPr>
          <w:rFonts w:hAnsi="標楷體"/>
          <w:szCs w:val="32"/>
        </w:rPr>
      </w:pPr>
      <w:r w:rsidRPr="00A973A2">
        <w:rPr>
          <w:rFonts w:hAnsi="標楷體" w:hint="eastAsia"/>
          <w:szCs w:val="32"/>
        </w:rPr>
        <w:t>憲法具有最高規範性</w:t>
      </w:r>
      <w:r w:rsidR="00DD7ADD" w:rsidRPr="00A973A2">
        <w:rPr>
          <w:rFonts w:hAnsi="標楷體" w:hint="eastAsia"/>
          <w:szCs w:val="32"/>
        </w:rPr>
        <w:t>，</w:t>
      </w:r>
      <w:r w:rsidR="00C165B7" w:rsidRPr="00A973A2">
        <w:rPr>
          <w:rFonts w:hAnsi="標楷體" w:hint="eastAsia"/>
          <w:szCs w:val="32"/>
        </w:rPr>
        <w:t>各憲法機關於解釋法律時應服從憲法規範。</w:t>
      </w:r>
    </w:p>
    <w:p w:rsidR="002D4840" w:rsidRPr="00A973A2" w:rsidRDefault="00E43A6E" w:rsidP="00E43A6E">
      <w:pPr>
        <w:pStyle w:val="32"/>
        <w:ind w:left="1361" w:firstLine="680"/>
      </w:pPr>
      <w:r w:rsidRPr="00A973A2">
        <w:rPr>
          <w:rFonts w:hint="eastAsia"/>
        </w:rPr>
        <w:t>德國公法學者</w:t>
      </w:r>
      <w:r w:rsidR="00E47F90" w:rsidRPr="00A973A2">
        <w:t xml:space="preserve">Christian </w:t>
      </w:r>
      <w:proofErr w:type="spellStart"/>
      <w:r w:rsidR="00E47F90" w:rsidRPr="00A973A2">
        <w:t>Starck</w:t>
      </w:r>
      <w:proofErr w:type="spellEnd"/>
      <w:r w:rsidR="00E47F90" w:rsidRPr="00A973A2">
        <w:rPr>
          <w:rFonts w:hint="eastAsia"/>
        </w:rPr>
        <w:t>教授曾說：「</w:t>
      </w:r>
      <w:r w:rsidR="002D4840" w:rsidRPr="00A973A2">
        <w:rPr>
          <w:rFonts w:hint="eastAsia"/>
        </w:rPr>
        <w:t>憲法對立法權的規範性係以憲法的優位性為前提要件，蓋若非如此，則依後法優於前法的原則(</w:t>
      </w:r>
      <w:proofErr w:type="spellStart"/>
      <w:r w:rsidR="002D4840" w:rsidRPr="00A973A2">
        <w:rPr>
          <w:rFonts w:hint="eastAsia"/>
        </w:rPr>
        <w:t>lex</w:t>
      </w:r>
      <w:proofErr w:type="spellEnd"/>
      <w:r w:rsidR="002D4840" w:rsidRPr="00A973A2">
        <w:rPr>
          <w:rFonts w:hint="eastAsia"/>
        </w:rPr>
        <w:t xml:space="preserve"> posterior </w:t>
      </w:r>
      <w:proofErr w:type="spellStart"/>
      <w:r w:rsidR="002D4840" w:rsidRPr="00A973A2">
        <w:rPr>
          <w:rFonts w:hint="eastAsia"/>
        </w:rPr>
        <w:t>derogat</w:t>
      </w:r>
      <w:proofErr w:type="spellEnd"/>
      <w:r w:rsidR="002D4840" w:rsidRPr="00A973A2">
        <w:rPr>
          <w:rFonts w:hint="eastAsia"/>
        </w:rPr>
        <w:t xml:space="preserve"> </w:t>
      </w:r>
      <w:proofErr w:type="spellStart"/>
      <w:r w:rsidR="002D4840" w:rsidRPr="00A973A2">
        <w:rPr>
          <w:rFonts w:hint="eastAsia"/>
        </w:rPr>
        <w:t>legi</w:t>
      </w:r>
      <w:proofErr w:type="spellEnd"/>
      <w:r w:rsidR="002D4840" w:rsidRPr="00A973A2">
        <w:rPr>
          <w:rFonts w:hint="eastAsia"/>
        </w:rPr>
        <w:t xml:space="preserve"> priori)，憲法無異將受立法者任意的支配。憲法優位的歷史根源可以追溯至所謂根本大法(</w:t>
      </w:r>
      <w:proofErr w:type="spellStart"/>
      <w:r w:rsidR="002D4840" w:rsidRPr="00A973A2">
        <w:rPr>
          <w:rFonts w:hint="eastAsia"/>
        </w:rPr>
        <w:t>leges</w:t>
      </w:r>
      <w:proofErr w:type="spellEnd"/>
      <w:r w:rsidR="002D4840" w:rsidRPr="00A973A2">
        <w:rPr>
          <w:rFonts w:hint="eastAsia"/>
        </w:rPr>
        <w:t xml:space="preserve"> </w:t>
      </w:r>
      <w:proofErr w:type="spellStart"/>
      <w:r w:rsidR="002D4840" w:rsidRPr="00A973A2">
        <w:rPr>
          <w:rFonts w:hint="eastAsia"/>
        </w:rPr>
        <w:t>fundamentales</w:t>
      </w:r>
      <w:proofErr w:type="spellEnd"/>
      <w:r w:rsidR="002D4840" w:rsidRPr="00A973A2">
        <w:rPr>
          <w:rFonts w:hint="eastAsia"/>
        </w:rPr>
        <w:t>) 的概念，其原意即在限制立法者的權力。此種傳統的優位思想係結合以國民主權為基礎的國民制憲權（</w:t>
      </w:r>
      <w:proofErr w:type="spellStart"/>
      <w:r w:rsidR="002D4840" w:rsidRPr="00A973A2">
        <w:rPr>
          <w:rFonts w:hint="eastAsia"/>
        </w:rPr>
        <w:t>verfassunggebende</w:t>
      </w:r>
      <w:proofErr w:type="spellEnd"/>
      <w:r w:rsidR="002D4840" w:rsidRPr="00A973A2">
        <w:rPr>
          <w:rFonts w:hint="eastAsia"/>
        </w:rPr>
        <w:t xml:space="preserve"> </w:t>
      </w:r>
      <w:proofErr w:type="spellStart"/>
      <w:r w:rsidR="002D4840" w:rsidRPr="00A973A2">
        <w:rPr>
          <w:rFonts w:hint="eastAsia"/>
        </w:rPr>
        <w:t>Gewalt</w:t>
      </w:r>
      <w:proofErr w:type="spellEnd"/>
      <w:r w:rsidR="002D4840" w:rsidRPr="00A973A2">
        <w:rPr>
          <w:rFonts w:hint="eastAsia"/>
        </w:rPr>
        <w:t xml:space="preserve"> des </w:t>
      </w:r>
      <w:proofErr w:type="spellStart"/>
      <w:r w:rsidR="002D4840" w:rsidRPr="00A973A2">
        <w:rPr>
          <w:rFonts w:hint="eastAsia"/>
        </w:rPr>
        <w:t>Volkes</w:t>
      </w:r>
      <w:proofErr w:type="spellEnd"/>
      <w:r w:rsidR="002D4840" w:rsidRPr="00A973A2">
        <w:rPr>
          <w:rFonts w:hint="eastAsia"/>
        </w:rPr>
        <w:t>），而所謂根本大法主要即指憲法而言，此乃修改憲法的程序比一般法律修改程序較為嚴格的原因所在。按經由憲法「建構」基本秩序，旨在確保「國家僅能依照事前所確立的規範，對其國民有所干預。憲法的目的在於限定國家行使權力的方式與條件；國家權力的行使，若違背此等條件或方式者，均為憲法所不容」。基於制憲權的理念所導出的憲法優位原則與權力分立原則之間具有不可分的相互作用關係(</w:t>
      </w:r>
      <w:proofErr w:type="spellStart"/>
      <w:r w:rsidR="002D4840" w:rsidRPr="00A973A2">
        <w:rPr>
          <w:rFonts w:hint="eastAsia"/>
        </w:rPr>
        <w:t>Wechselbeziehung</w:t>
      </w:r>
      <w:proofErr w:type="spellEnd"/>
      <w:r w:rsidR="002D4840" w:rsidRPr="00A973A2">
        <w:rPr>
          <w:rFonts w:hint="eastAsia"/>
        </w:rPr>
        <w:t>) ，權力分立原則為憲法價位原則發揮作用所不可或缺的條件。相對地，權力分立原則亦有賴憲法優位原則的配合，否則，權力分立原則將為實際</w:t>
      </w:r>
      <w:r w:rsidR="00BE63BD" w:rsidRPr="00A973A2">
        <w:rPr>
          <w:rFonts w:hint="eastAsia"/>
        </w:rPr>
        <w:t>(</w:t>
      </w:r>
      <w:r w:rsidR="002D4840" w:rsidRPr="00A973A2">
        <w:rPr>
          <w:rFonts w:hint="eastAsia"/>
        </w:rPr>
        <w:t xml:space="preserve">in </w:t>
      </w:r>
      <w:proofErr w:type="spellStart"/>
      <w:r w:rsidR="002D4840" w:rsidRPr="00A973A2">
        <w:rPr>
          <w:rFonts w:hint="eastAsia"/>
        </w:rPr>
        <w:t>praxi</w:t>
      </w:r>
      <w:proofErr w:type="spellEnd"/>
      <w:r w:rsidR="002D4840" w:rsidRPr="00A973A2">
        <w:rPr>
          <w:rFonts w:hint="eastAsia"/>
        </w:rPr>
        <w:t>)最強勢的國家機關所左右。此外，憲法規範的明確性與可靠性，以及對憲法的共通基本理解，均屬憲法優位原則的前提所在。</w:t>
      </w:r>
      <w:r w:rsidR="00C165B7" w:rsidRPr="00A973A2">
        <w:rPr>
          <w:rFonts w:hint="eastAsia"/>
        </w:rPr>
        <w:t>」</w:t>
      </w:r>
      <w:r w:rsidR="00C165B7" w:rsidRPr="00A973A2">
        <w:rPr>
          <w:rStyle w:val="aff"/>
          <w:rFonts w:hAnsi="標楷體"/>
          <w:szCs w:val="32"/>
        </w:rPr>
        <w:footnoteReference w:id="7"/>
      </w:r>
      <w:r w:rsidR="00C165B7" w:rsidRPr="00A973A2">
        <w:rPr>
          <w:rFonts w:hint="eastAsia"/>
        </w:rPr>
        <w:t>等語。</w:t>
      </w:r>
    </w:p>
    <w:p w:rsidR="00BE63BD" w:rsidRPr="00A973A2" w:rsidRDefault="00BE63BD" w:rsidP="00BE63BD">
      <w:pPr>
        <w:pStyle w:val="3"/>
        <w:rPr>
          <w:rFonts w:hAnsi="標楷體"/>
          <w:szCs w:val="32"/>
        </w:rPr>
      </w:pPr>
      <w:r w:rsidRPr="00A973A2">
        <w:rPr>
          <w:rFonts w:hAnsi="標楷體" w:hint="eastAsia"/>
          <w:szCs w:val="32"/>
        </w:rPr>
        <w:t>監察權依據憲法</w:t>
      </w:r>
      <w:r w:rsidR="00C165B7" w:rsidRPr="00A973A2">
        <w:rPr>
          <w:rFonts w:hAnsi="標楷體" w:hint="eastAsia"/>
          <w:szCs w:val="32"/>
        </w:rPr>
        <w:t>基於就</w:t>
      </w:r>
      <w:r w:rsidRPr="00A973A2">
        <w:rPr>
          <w:rFonts w:hAnsi="標楷體" w:hint="eastAsia"/>
          <w:szCs w:val="32"/>
        </w:rPr>
        <w:t>行政權「合法性監督」與「合目的性監督</w:t>
      </w:r>
      <w:r w:rsidR="00E43A6E" w:rsidRPr="00A973A2">
        <w:rPr>
          <w:rFonts w:hAnsi="標楷體" w:hint="eastAsia"/>
          <w:szCs w:val="32"/>
        </w:rPr>
        <w:t>」</w:t>
      </w:r>
      <w:r w:rsidRPr="00A973A2">
        <w:rPr>
          <w:rFonts w:hAnsi="標楷體" w:hint="eastAsia"/>
          <w:szCs w:val="32"/>
        </w:rPr>
        <w:t>之具體運作</w:t>
      </w:r>
      <w:r w:rsidR="00C165B7" w:rsidRPr="00A973A2">
        <w:rPr>
          <w:rFonts w:hAnsi="標楷體" w:hint="eastAsia"/>
          <w:szCs w:val="32"/>
        </w:rPr>
        <w:t>，適用行政權所主管之法令</w:t>
      </w:r>
      <w:r w:rsidRPr="00A973A2">
        <w:rPr>
          <w:rFonts w:hAnsi="標楷體" w:hint="eastAsia"/>
          <w:szCs w:val="32"/>
        </w:rPr>
        <w:t>。</w:t>
      </w:r>
    </w:p>
    <w:p w:rsidR="000F21D3" w:rsidRPr="00A973A2" w:rsidRDefault="00341940" w:rsidP="00BC5A38">
      <w:pPr>
        <w:pStyle w:val="32"/>
        <w:ind w:left="1361" w:firstLine="680"/>
      </w:pPr>
      <w:r w:rsidRPr="00A973A2">
        <w:rPr>
          <w:rFonts w:hint="eastAsia"/>
        </w:rPr>
        <w:t>憲法第96條規定：「監察院得按行政院及其各部會之工作，分設若干委員會，調查一切設施，注意其是否違法或失職。」</w:t>
      </w:r>
      <w:r w:rsidR="003E68B8" w:rsidRPr="00A973A2">
        <w:rPr>
          <w:rFonts w:hint="eastAsia"/>
        </w:rPr>
        <w:t>與</w:t>
      </w:r>
      <w:r w:rsidRPr="00A973A2">
        <w:rPr>
          <w:rFonts w:hint="eastAsia"/>
        </w:rPr>
        <w:t>憲法第97條規定：「監察院經各該委員會之審查及決議，得提出糾正案，移送行政院及其有關部會，促其注意改善。監察院對於中央及地方公務人員，認為有失職或違法情事，得提出糾舉案或彈劾案，如涉及刑事，應移送法院辦理。」</w:t>
      </w:r>
      <w:r w:rsidR="00F915E8" w:rsidRPr="00A973A2">
        <w:rPr>
          <w:rFonts w:hint="eastAsia"/>
        </w:rPr>
        <w:t>其</w:t>
      </w:r>
      <w:r w:rsidR="003E68B8" w:rsidRPr="00A973A2">
        <w:rPr>
          <w:rFonts w:hint="eastAsia"/>
        </w:rPr>
        <w:t>運作情形如圖</w:t>
      </w:r>
      <w:r w:rsidR="004617CC" w:rsidRPr="00A973A2">
        <w:rPr>
          <w:rFonts w:hint="eastAsia"/>
        </w:rPr>
        <w:t>1</w:t>
      </w:r>
      <w:r w:rsidR="003E68B8" w:rsidRPr="00A973A2">
        <w:rPr>
          <w:rFonts w:hint="eastAsia"/>
        </w:rPr>
        <w:t>。</w:t>
      </w:r>
    </w:p>
    <w:p w:rsidR="000F21D3" w:rsidRPr="00A973A2" w:rsidRDefault="003E68B8" w:rsidP="004617CC">
      <w:pPr>
        <w:jc w:val="center"/>
      </w:pPr>
      <w:r w:rsidRPr="00A973A2">
        <w:rPr>
          <w:noProof/>
        </w:rPr>
        <w:drawing>
          <wp:inline distT="0" distB="0" distL="0" distR="0" wp14:anchorId="4844E3AB" wp14:editId="15DEF097">
            <wp:extent cx="5435600" cy="3556000"/>
            <wp:effectExtent l="0" t="0" r="0" b="0"/>
            <wp:docPr id="6" name="圖片 6"/>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0178" cy="3558995"/>
                    </a:xfrm>
                    <a:prstGeom prst="rect">
                      <a:avLst/>
                    </a:prstGeom>
                    <a:noFill/>
                  </pic:spPr>
                </pic:pic>
              </a:graphicData>
            </a:graphic>
          </wp:inline>
        </w:drawing>
      </w:r>
    </w:p>
    <w:p w:rsidR="00F3523A" w:rsidRPr="00A973A2" w:rsidRDefault="00F3523A" w:rsidP="00F3523A">
      <w:pPr>
        <w:pStyle w:val="af6"/>
      </w:pPr>
      <w:r w:rsidRPr="00A973A2">
        <w:rPr>
          <w:rFonts w:hint="eastAsia"/>
        </w:rPr>
        <w:t>註</w:t>
      </w:r>
      <w:r w:rsidRPr="00A973A2">
        <w:rPr>
          <w:rFonts w:ascii="新細明體" w:eastAsia="新細明體" w:hAnsi="新細明體" w:hint="eastAsia"/>
        </w:rPr>
        <w:t>：</w:t>
      </w:r>
      <w:r w:rsidRPr="00A973A2">
        <w:rPr>
          <w:rFonts w:hint="eastAsia"/>
        </w:rPr>
        <w:t>實線表示必然進行監察程序，虛線表示經過監察院相關程序如院會或彈劾案審查會等，所為程序，監察權對行政權之監督必然會提出調查報告。</w:t>
      </w:r>
    </w:p>
    <w:p w:rsidR="00E43A6E" w:rsidRPr="00A973A2" w:rsidRDefault="00E43A6E" w:rsidP="00E43A6E">
      <w:pPr>
        <w:pStyle w:val="a1"/>
      </w:pPr>
      <w:r w:rsidRPr="00A973A2">
        <w:rPr>
          <w:rFonts w:hAnsi="標楷體" w:hint="eastAsia"/>
          <w:szCs w:val="32"/>
        </w:rPr>
        <w:t>監察權對行政權監督</w:t>
      </w:r>
    </w:p>
    <w:p w:rsidR="000F21D3" w:rsidRPr="00A973A2" w:rsidRDefault="004617CC" w:rsidP="00BC5A38">
      <w:pPr>
        <w:pStyle w:val="32"/>
        <w:ind w:left="1361" w:firstLine="680"/>
      </w:pPr>
      <w:r w:rsidRPr="00A973A2">
        <w:rPr>
          <w:rFonts w:hint="eastAsia"/>
        </w:rPr>
        <w:t>從</w:t>
      </w:r>
      <w:r w:rsidR="003E68B8" w:rsidRPr="00A973A2">
        <w:rPr>
          <w:rFonts w:hint="eastAsia"/>
        </w:rPr>
        <w:t>圖</w:t>
      </w:r>
      <w:r w:rsidRPr="00A973A2">
        <w:rPr>
          <w:rFonts w:hint="eastAsia"/>
        </w:rPr>
        <w:t>1</w:t>
      </w:r>
      <w:r w:rsidR="003E68B8" w:rsidRPr="00A973A2">
        <w:rPr>
          <w:rFonts w:hint="eastAsia"/>
        </w:rPr>
        <w:t>可知，監察院依據憲法第96條</w:t>
      </w:r>
      <w:r w:rsidR="009D2F7A" w:rsidRPr="00A973A2">
        <w:rPr>
          <w:rFonts w:hint="eastAsia"/>
        </w:rPr>
        <w:t>規定對事「違法或失職」與憲法第97條</w:t>
      </w:r>
      <w:r w:rsidR="00E02C10" w:rsidRPr="00A973A2">
        <w:rPr>
          <w:rFonts w:hint="eastAsia"/>
        </w:rPr>
        <w:t>後段</w:t>
      </w:r>
      <w:r w:rsidR="009D2F7A" w:rsidRPr="00A973A2">
        <w:rPr>
          <w:rFonts w:hint="eastAsia"/>
        </w:rPr>
        <w:t>對人「違法或失職」</w:t>
      </w:r>
      <w:r w:rsidR="00C5753C" w:rsidRPr="00A973A2">
        <w:rPr>
          <w:rFonts w:hint="eastAsia"/>
        </w:rPr>
        <w:t>就</w:t>
      </w:r>
      <w:r w:rsidR="009D2F7A" w:rsidRPr="00A973A2">
        <w:rPr>
          <w:rFonts w:hint="eastAsia"/>
        </w:rPr>
        <w:t>行政權產生全面性的「合法性監督」與「合目的性監督</w:t>
      </w:r>
      <w:r w:rsidR="00E43A6E" w:rsidRPr="00A973A2">
        <w:rPr>
          <w:rFonts w:hint="eastAsia"/>
        </w:rPr>
        <w:t>」</w:t>
      </w:r>
      <w:r w:rsidR="002D4840" w:rsidRPr="00A973A2">
        <w:rPr>
          <w:rFonts w:hint="eastAsia"/>
        </w:rPr>
        <w:t>，</w:t>
      </w:r>
      <w:r w:rsidR="00DD7ADD" w:rsidRPr="00A973A2">
        <w:rPr>
          <w:rFonts w:hint="eastAsia"/>
        </w:rPr>
        <w:t>就合法性監督而言，行政機關之行政行為若涉及違反憲法，監察院應先審查其是否違法，若發見其行為違法又違憲，則監察院當然立即提出糾正與彈劾，其問題或當可立即處理解決，若僅為糾正時（或彈劾時）行政機關認為就系爭法律之解釋與</w:t>
      </w:r>
      <w:r w:rsidR="00E02C10" w:rsidRPr="00A973A2">
        <w:rPr>
          <w:rFonts w:hint="eastAsia"/>
        </w:rPr>
        <w:t>監察院</w:t>
      </w:r>
      <w:r w:rsidR="00DD7ADD" w:rsidRPr="00A973A2">
        <w:rPr>
          <w:rFonts w:hint="eastAsia"/>
        </w:rPr>
        <w:t>適用法律之解釋有所不同，</w:t>
      </w:r>
      <w:r w:rsidR="007B3C02" w:rsidRPr="00A973A2">
        <w:rPr>
          <w:rFonts w:hint="eastAsia"/>
        </w:rPr>
        <w:t>行政機關</w:t>
      </w:r>
      <w:r w:rsidR="00DD7ADD" w:rsidRPr="00A973A2">
        <w:rPr>
          <w:rFonts w:hint="eastAsia"/>
        </w:rPr>
        <w:t>仍堅持己見而無從解決時，則聲請司法院大法官解釋，</w:t>
      </w:r>
      <w:r w:rsidR="00E02C10" w:rsidRPr="00A973A2">
        <w:rPr>
          <w:rFonts w:hint="eastAsia"/>
        </w:rPr>
        <w:t>實務</w:t>
      </w:r>
      <w:r w:rsidR="00DD7ADD" w:rsidRPr="00A973A2">
        <w:rPr>
          <w:rFonts w:hint="eastAsia"/>
        </w:rPr>
        <w:t>常見於糾正後</w:t>
      </w:r>
      <w:r w:rsidR="00C5753C" w:rsidRPr="00A973A2">
        <w:rPr>
          <w:rFonts w:hint="eastAsia"/>
        </w:rPr>
        <w:t>，</w:t>
      </w:r>
      <w:r w:rsidR="00DD7ADD" w:rsidRPr="00A973A2">
        <w:rPr>
          <w:rFonts w:hint="eastAsia"/>
        </w:rPr>
        <w:t>以統一解釋之形式</w:t>
      </w:r>
      <w:r w:rsidR="007B3C02" w:rsidRPr="00A973A2">
        <w:rPr>
          <w:rFonts w:hint="eastAsia"/>
        </w:rPr>
        <w:t>作為</w:t>
      </w:r>
      <w:r w:rsidR="00DD7ADD" w:rsidRPr="00A973A2">
        <w:rPr>
          <w:rStyle w:val="aff"/>
          <w:rFonts w:hAnsi="標楷體"/>
          <w:szCs w:val="32"/>
        </w:rPr>
        <w:footnoteReference w:id="8"/>
      </w:r>
      <w:r w:rsidR="00C5753C" w:rsidRPr="00A973A2">
        <w:rPr>
          <w:rFonts w:hint="eastAsia"/>
        </w:rPr>
        <w:t>；然若行政行為調查後發見並</w:t>
      </w:r>
      <w:r w:rsidR="00E02C10" w:rsidRPr="00A973A2">
        <w:rPr>
          <w:rFonts w:hint="eastAsia"/>
        </w:rPr>
        <w:t>無違法，但適用</w:t>
      </w:r>
      <w:r w:rsidR="00C5753C" w:rsidRPr="00A973A2">
        <w:rPr>
          <w:rFonts w:hint="eastAsia"/>
        </w:rPr>
        <w:t>法律</w:t>
      </w:r>
      <w:r w:rsidR="00DD7ADD" w:rsidRPr="00A973A2">
        <w:rPr>
          <w:rFonts w:hint="eastAsia"/>
        </w:rPr>
        <w:t>係違</w:t>
      </w:r>
      <w:r w:rsidR="00C5753C" w:rsidRPr="00A973A2">
        <w:rPr>
          <w:rFonts w:hint="eastAsia"/>
        </w:rPr>
        <w:t>憲法律，因其</w:t>
      </w:r>
      <w:r w:rsidRPr="00A973A2">
        <w:rPr>
          <w:rFonts w:hint="eastAsia"/>
        </w:rPr>
        <w:t>行為</w:t>
      </w:r>
      <w:r w:rsidR="00C5753C" w:rsidRPr="00A973A2">
        <w:rPr>
          <w:rFonts w:hint="eastAsia"/>
        </w:rPr>
        <w:t>時所依據法律</w:t>
      </w:r>
      <w:r w:rsidR="00DD7ADD" w:rsidRPr="00A973A2">
        <w:rPr>
          <w:rFonts w:hint="eastAsia"/>
        </w:rPr>
        <w:t>，係由立法院制定通過，處理法令違憲問題，涉及否決立法行為效力，監察院</w:t>
      </w:r>
      <w:r w:rsidR="00C5753C" w:rsidRPr="00A973A2">
        <w:rPr>
          <w:rFonts w:hint="eastAsia"/>
        </w:rPr>
        <w:t>就行政機關合法行為</w:t>
      </w:r>
      <w:r w:rsidR="00773DA1" w:rsidRPr="00A973A2">
        <w:rPr>
          <w:rFonts w:hint="eastAsia"/>
        </w:rPr>
        <w:t>，尚</w:t>
      </w:r>
      <w:r w:rsidR="00DD7ADD" w:rsidRPr="00A973A2">
        <w:rPr>
          <w:rFonts w:hint="eastAsia"/>
        </w:rPr>
        <w:t>無從</w:t>
      </w:r>
      <w:r w:rsidR="00E02C10" w:rsidRPr="00A973A2">
        <w:rPr>
          <w:rFonts w:hint="eastAsia"/>
        </w:rPr>
        <w:t>提案</w:t>
      </w:r>
      <w:r w:rsidR="007B3C02" w:rsidRPr="00A973A2">
        <w:rPr>
          <w:rFonts w:hint="eastAsia"/>
        </w:rPr>
        <w:t>糾正與彈劾，僅能移送唯一</w:t>
      </w:r>
      <w:r w:rsidR="00DD7ADD" w:rsidRPr="00A973A2">
        <w:rPr>
          <w:rFonts w:hint="eastAsia"/>
        </w:rPr>
        <w:t>處理法令違憲之機關-司法院大法官審查，透過有權解釋憲法機關做出終局決定。</w:t>
      </w:r>
      <w:r w:rsidR="00C5753C" w:rsidRPr="00A973A2">
        <w:rPr>
          <w:rFonts w:hint="eastAsia"/>
        </w:rPr>
        <w:t>司法院大法官解釋後若認為係屬違憲，而行政機關</w:t>
      </w:r>
      <w:r w:rsidR="00773DA1" w:rsidRPr="00A973A2">
        <w:rPr>
          <w:rFonts w:hint="eastAsia"/>
        </w:rPr>
        <w:t>仍</w:t>
      </w:r>
      <w:r w:rsidR="00C5753C" w:rsidRPr="00A973A2">
        <w:rPr>
          <w:rFonts w:hint="eastAsia"/>
        </w:rPr>
        <w:t>行使所謂抵抗權</w:t>
      </w:r>
      <w:r w:rsidR="00E02C10" w:rsidRPr="00A973A2">
        <w:rPr>
          <w:rStyle w:val="aff"/>
          <w:rFonts w:hAnsi="標楷體"/>
          <w:szCs w:val="32"/>
        </w:rPr>
        <w:footnoteReference w:id="9"/>
      </w:r>
      <w:r w:rsidR="00E02C10" w:rsidRPr="00A973A2">
        <w:rPr>
          <w:rFonts w:hint="eastAsia"/>
        </w:rPr>
        <w:t>時，拒絕執行</w:t>
      </w:r>
      <w:r w:rsidR="00975CBC" w:rsidRPr="00A973A2">
        <w:rPr>
          <w:rFonts w:hint="eastAsia"/>
        </w:rPr>
        <w:t>司法院大法官之憲法</w:t>
      </w:r>
      <w:r w:rsidR="00E02C10" w:rsidRPr="00A973A2">
        <w:rPr>
          <w:rFonts w:hint="eastAsia"/>
        </w:rPr>
        <w:t>解釋時，監察權</w:t>
      </w:r>
      <w:r w:rsidR="00C824F2" w:rsidRPr="00A973A2">
        <w:rPr>
          <w:rFonts w:hint="eastAsia"/>
        </w:rPr>
        <w:t>方能</w:t>
      </w:r>
      <w:r w:rsidR="00E02C10" w:rsidRPr="00A973A2">
        <w:rPr>
          <w:rFonts w:hint="eastAsia"/>
        </w:rPr>
        <w:t>就其行政權提出彈劾與糾正，由此可知司法院大法官承認監察權</w:t>
      </w:r>
      <w:r w:rsidR="00BE63BD" w:rsidRPr="00A973A2">
        <w:rPr>
          <w:rFonts w:hint="eastAsia"/>
        </w:rPr>
        <w:t>（含調查權）</w:t>
      </w:r>
      <w:r w:rsidR="00E02C10" w:rsidRPr="00A973A2">
        <w:rPr>
          <w:rFonts w:hint="eastAsia"/>
        </w:rPr>
        <w:t>之「抽象違憲審查權」發動，實際</w:t>
      </w:r>
      <w:r w:rsidR="00BE63BD" w:rsidRPr="00A973A2">
        <w:rPr>
          <w:rFonts w:hint="eastAsia"/>
        </w:rPr>
        <w:t>保障監察權違法審查與違憲審查之抽象</w:t>
      </w:r>
      <w:r w:rsidR="00E02C10" w:rsidRPr="00A973A2">
        <w:rPr>
          <w:rFonts w:hint="eastAsia"/>
        </w:rPr>
        <w:t>存在，而監察權就司法院大法官「抽象違憲審查權」執行之監督</w:t>
      </w:r>
      <w:r w:rsidR="00BE63BD" w:rsidRPr="00A973A2">
        <w:rPr>
          <w:rFonts w:hint="eastAsia"/>
        </w:rPr>
        <w:t>，</w:t>
      </w:r>
      <w:r w:rsidR="00E02C10" w:rsidRPr="00A973A2">
        <w:rPr>
          <w:rFonts w:hint="eastAsia"/>
        </w:rPr>
        <w:t>保障司法院大法官「抽象法令審查權」之具體存在，兩者相輔相成</w:t>
      </w:r>
      <w:r w:rsidR="00886FDD" w:rsidRPr="00A973A2">
        <w:rPr>
          <w:rFonts w:hint="eastAsia"/>
        </w:rPr>
        <w:t>。從前揭說明可知，</w:t>
      </w:r>
      <w:r w:rsidR="00886FDD" w:rsidRPr="00A973A2">
        <w:rPr>
          <w:rFonts w:hint="eastAsia"/>
          <w:u w:val="single"/>
        </w:rPr>
        <w:t>調查權</w:t>
      </w:r>
      <w:r w:rsidR="007B3C02" w:rsidRPr="00A973A2">
        <w:rPr>
          <w:rFonts w:hint="eastAsia"/>
          <w:u w:val="single"/>
        </w:rPr>
        <w:t>亦</w:t>
      </w:r>
      <w:r w:rsidR="00886FDD" w:rsidRPr="00A973A2">
        <w:rPr>
          <w:rFonts w:hint="eastAsia"/>
          <w:u w:val="single"/>
        </w:rPr>
        <w:t>構成所有監察權之核心基礎，監察院行使</w:t>
      </w:r>
      <w:r w:rsidR="007B3C02" w:rsidRPr="00A973A2">
        <w:rPr>
          <w:rFonts w:hint="eastAsia"/>
          <w:u w:val="single"/>
        </w:rPr>
        <w:t>各項</w:t>
      </w:r>
      <w:r w:rsidR="00886FDD" w:rsidRPr="00A973A2">
        <w:rPr>
          <w:rFonts w:hint="eastAsia"/>
          <w:u w:val="single"/>
        </w:rPr>
        <w:t>職權</w:t>
      </w:r>
      <w:r w:rsidR="007B3C02" w:rsidRPr="00A973A2">
        <w:rPr>
          <w:rFonts w:hint="eastAsia"/>
          <w:u w:val="single"/>
        </w:rPr>
        <w:t>，必然會行使調查權</w:t>
      </w:r>
      <w:r w:rsidR="00886FDD" w:rsidRPr="00A973A2">
        <w:rPr>
          <w:rFonts w:hint="eastAsia"/>
          <w:u w:val="single"/>
        </w:rPr>
        <w:t>提出調查報告</w:t>
      </w:r>
      <w:r w:rsidR="00886FDD" w:rsidRPr="00A973A2">
        <w:rPr>
          <w:rFonts w:hint="eastAsia"/>
        </w:rPr>
        <w:t>，</w:t>
      </w:r>
      <w:r w:rsidRPr="00A973A2">
        <w:rPr>
          <w:rFonts w:hint="eastAsia"/>
        </w:rPr>
        <w:t>但是否提出</w:t>
      </w:r>
      <w:r w:rsidR="00886FDD" w:rsidRPr="00A973A2">
        <w:rPr>
          <w:rFonts w:hint="eastAsia"/>
        </w:rPr>
        <w:t>彈劾或糾正</w:t>
      </w:r>
      <w:r w:rsidR="00BE63BD" w:rsidRPr="00A973A2">
        <w:rPr>
          <w:rFonts w:hint="eastAsia"/>
        </w:rPr>
        <w:t>，則應</w:t>
      </w:r>
      <w:r w:rsidR="00975CBC" w:rsidRPr="00A973A2">
        <w:rPr>
          <w:rFonts w:hint="eastAsia"/>
        </w:rPr>
        <w:t>基於監察權合議</w:t>
      </w:r>
      <w:r w:rsidR="007B3C02" w:rsidRPr="00A973A2">
        <w:rPr>
          <w:rFonts w:hint="eastAsia"/>
        </w:rPr>
        <w:t>決定</w:t>
      </w:r>
      <w:r w:rsidR="00975CBC" w:rsidRPr="00A973A2">
        <w:rPr>
          <w:rFonts w:hint="eastAsia"/>
        </w:rPr>
        <w:t>，</w:t>
      </w:r>
      <w:r w:rsidR="00773DA1" w:rsidRPr="00A973A2">
        <w:rPr>
          <w:rFonts w:hint="eastAsia"/>
        </w:rPr>
        <w:t>並</w:t>
      </w:r>
      <w:r w:rsidR="00BE63BD" w:rsidRPr="00A973A2">
        <w:rPr>
          <w:rFonts w:hint="eastAsia"/>
        </w:rPr>
        <w:t>視</w:t>
      </w:r>
      <w:r w:rsidR="00773DA1" w:rsidRPr="00A973A2">
        <w:rPr>
          <w:rFonts w:hint="eastAsia"/>
        </w:rPr>
        <w:t>憲法所定之法定要件與行政權對於監察權之態度而定，而其態度間接影響或確保</w:t>
      </w:r>
      <w:r w:rsidR="00BE63BD" w:rsidRPr="00A973A2">
        <w:rPr>
          <w:rFonts w:hint="eastAsia"/>
        </w:rPr>
        <w:t>司法院大法官「抽象法令審查權」</w:t>
      </w:r>
      <w:r w:rsidR="007B3C02" w:rsidRPr="00A973A2">
        <w:rPr>
          <w:rFonts w:hint="eastAsia"/>
        </w:rPr>
        <w:t>之實踐</w:t>
      </w:r>
      <w:r w:rsidR="00886FDD" w:rsidRPr="00A973A2">
        <w:rPr>
          <w:rFonts w:hint="eastAsia"/>
        </w:rPr>
        <w:t>。</w:t>
      </w:r>
    </w:p>
    <w:p w:rsidR="00975CBC" w:rsidRPr="00A973A2" w:rsidRDefault="00C165B7" w:rsidP="00975CBC">
      <w:pPr>
        <w:pStyle w:val="3"/>
        <w:rPr>
          <w:rFonts w:hAnsi="標楷體"/>
          <w:szCs w:val="32"/>
        </w:rPr>
      </w:pPr>
      <w:r w:rsidRPr="00A973A2">
        <w:rPr>
          <w:rFonts w:hAnsi="標楷體" w:hint="eastAsia"/>
          <w:szCs w:val="32"/>
        </w:rPr>
        <w:t>監察權依據憲法就</w:t>
      </w:r>
      <w:r w:rsidR="00975CBC" w:rsidRPr="00A973A2">
        <w:rPr>
          <w:rFonts w:hAnsi="標楷體" w:hint="eastAsia"/>
          <w:szCs w:val="32"/>
        </w:rPr>
        <w:t>司法權「合法性監督」與「合目的性監督</w:t>
      </w:r>
      <w:r w:rsidR="004617CC" w:rsidRPr="00A973A2">
        <w:rPr>
          <w:rFonts w:hAnsi="標楷體" w:hint="eastAsia"/>
          <w:szCs w:val="32"/>
        </w:rPr>
        <w:t>」</w:t>
      </w:r>
      <w:r w:rsidR="00975CBC" w:rsidRPr="00A973A2">
        <w:rPr>
          <w:rFonts w:hAnsi="標楷體" w:hint="eastAsia"/>
          <w:szCs w:val="32"/>
        </w:rPr>
        <w:t>之具體運作</w:t>
      </w:r>
      <w:r w:rsidRPr="00A973A2">
        <w:rPr>
          <w:rFonts w:hAnsi="標楷體" w:hint="eastAsia"/>
          <w:szCs w:val="32"/>
        </w:rPr>
        <w:t>，適用司法權所主管之法令</w:t>
      </w:r>
      <w:r w:rsidR="00975CBC" w:rsidRPr="00A973A2">
        <w:rPr>
          <w:rFonts w:hAnsi="標楷體" w:hint="eastAsia"/>
          <w:szCs w:val="32"/>
        </w:rPr>
        <w:t>。</w:t>
      </w:r>
    </w:p>
    <w:p w:rsidR="00BE63BD" w:rsidRPr="00A973A2" w:rsidRDefault="00975CBC" w:rsidP="00BC5A38">
      <w:pPr>
        <w:pStyle w:val="32"/>
        <w:ind w:left="1361" w:firstLine="680"/>
      </w:pPr>
      <w:r w:rsidRPr="00A973A2">
        <w:rPr>
          <w:rFonts w:hint="eastAsia"/>
        </w:rPr>
        <w:t>依據憲法第97條後段規定：「監察院對於中央及地方公務人員，認為有失職或違法情事，得提出糾舉案或彈劾案，如涉及刑事，應移送法院辦理。」因監察權對於司法人員（法官）就其違法或失職得為監督，而產生之調查權，</w:t>
      </w:r>
      <w:r w:rsidR="00C41479" w:rsidRPr="00A973A2">
        <w:rPr>
          <w:rFonts w:hint="eastAsia"/>
        </w:rPr>
        <w:t>具有保障基本人權維護公平法院原則之效果，</w:t>
      </w:r>
      <w:r w:rsidRPr="00A973A2">
        <w:rPr>
          <w:rFonts w:hint="eastAsia"/>
        </w:rPr>
        <w:t>間接影響對其</w:t>
      </w:r>
      <w:r w:rsidR="004617CC" w:rsidRPr="00A973A2">
        <w:rPr>
          <w:rFonts w:hint="eastAsia"/>
        </w:rPr>
        <w:t>司法事務產生「合法性監督」與「合目的性監督」，其行憲以來運作如圖2</w:t>
      </w:r>
      <w:r w:rsidRPr="00A973A2">
        <w:rPr>
          <w:rFonts w:hint="eastAsia"/>
        </w:rPr>
        <w:t>：</w:t>
      </w:r>
    </w:p>
    <w:p w:rsidR="00975CBC" w:rsidRPr="00A973A2" w:rsidRDefault="00975CBC" w:rsidP="004617CC">
      <w:pPr>
        <w:jc w:val="center"/>
      </w:pPr>
      <w:r w:rsidRPr="00A973A2">
        <w:rPr>
          <w:noProof/>
        </w:rPr>
        <w:drawing>
          <wp:inline distT="0" distB="0" distL="0" distR="0" wp14:anchorId="32233328" wp14:editId="0B6E5C87">
            <wp:extent cx="4965700" cy="3194050"/>
            <wp:effectExtent l="0" t="0" r="6350" b="0"/>
            <wp:docPr id="4" name="圖片 4"/>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68702" cy="3195981"/>
                    </a:xfrm>
                    <a:prstGeom prst="rect">
                      <a:avLst/>
                    </a:prstGeom>
                    <a:noFill/>
                  </pic:spPr>
                </pic:pic>
              </a:graphicData>
            </a:graphic>
          </wp:inline>
        </w:drawing>
      </w:r>
    </w:p>
    <w:p w:rsidR="00F3523A" w:rsidRPr="00A973A2" w:rsidRDefault="00F3523A" w:rsidP="00F3523A">
      <w:pPr>
        <w:pStyle w:val="af6"/>
      </w:pPr>
      <w:r w:rsidRPr="00A973A2">
        <w:rPr>
          <w:rFonts w:hint="eastAsia"/>
        </w:rPr>
        <w:t>註：實線表示必然進行監察程序，虛線表示經過監察院相關程序如院會或彈劾案審查會等，所為程序，監察權對司法權之監督必然會提出調查報告。</w:t>
      </w:r>
    </w:p>
    <w:p w:rsidR="004617CC" w:rsidRPr="00A973A2" w:rsidRDefault="004617CC" w:rsidP="004617CC">
      <w:pPr>
        <w:pStyle w:val="a1"/>
      </w:pPr>
      <w:r w:rsidRPr="00A973A2">
        <w:rPr>
          <w:rFonts w:hAnsi="標楷體" w:hint="eastAsia"/>
          <w:szCs w:val="32"/>
        </w:rPr>
        <w:t>監察權對司法權監督</w:t>
      </w:r>
    </w:p>
    <w:p w:rsidR="00C41479" w:rsidRPr="00A973A2" w:rsidRDefault="00C41479" w:rsidP="00BC5A38">
      <w:pPr>
        <w:pStyle w:val="32"/>
        <w:ind w:left="1361" w:firstLine="680"/>
      </w:pPr>
      <w:r w:rsidRPr="00A973A2">
        <w:rPr>
          <w:rFonts w:hint="eastAsia"/>
        </w:rPr>
        <w:t>從圖</w:t>
      </w:r>
      <w:r w:rsidR="004617CC" w:rsidRPr="00A973A2">
        <w:rPr>
          <w:rFonts w:hint="eastAsia"/>
        </w:rPr>
        <w:t>2</w:t>
      </w:r>
      <w:r w:rsidRPr="00A973A2">
        <w:rPr>
          <w:rFonts w:hint="eastAsia"/>
        </w:rPr>
        <w:t>可知，監察院依據憲法第97條後段對人「違法或失職」所生調查權，必然提出調查報告，因而就司法權事項間接產生「合法性監督」與「合目的性監督</w:t>
      </w:r>
      <w:r w:rsidR="004617CC" w:rsidRPr="00A973A2">
        <w:rPr>
          <w:rFonts w:hint="eastAsia"/>
        </w:rPr>
        <w:t>」</w:t>
      </w:r>
      <w:r w:rsidR="00616230" w:rsidRPr="00A973A2">
        <w:rPr>
          <w:rFonts w:hint="eastAsia"/>
        </w:rPr>
        <w:t>，但無任何強制力</w:t>
      </w:r>
      <w:r w:rsidRPr="00A973A2">
        <w:rPr>
          <w:rFonts w:hint="eastAsia"/>
        </w:rPr>
        <w:t>，就合法性監督而言，就裁判而言必須是確定判決，保障憲法第80條所定法官獨立審判之權力，於調查過程中，</w:t>
      </w:r>
      <w:r w:rsidR="00E3787A" w:rsidRPr="00A973A2">
        <w:rPr>
          <w:rFonts w:hint="eastAsia"/>
        </w:rPr>
        <w:t>若發現確定判決有判決違背法令之情形，所提出調查報告基於保障人權建請法務部轉最高檢察署研提有無再審或非常上訴之可能；若同時發現法官涉有違法或失職之情形（非審判核心）則提起彈劾；再者若發見</w:t>
      </w:r>
      <w:r w:rsidR="00C824F2" w:rsidRPr="00A973A2">
        <w:rPr>
          <w:rFonts w:hint="eastAsia"/>
        </w:rPr>
        <w:t>於調查時所適用</w:t>
      </w:r>
      <w:r w:rsidR="00E3787A" w:rsidRPr="00A973A2">
        <w:rPr>
          <w:rFonts w:hint="eastAsia"/>
        </w:rPr>
        <w:t>法令（如</w:t>
      </w:r>
      <w:r w:rsidR="00C824F2" w:rsidRPr="00A973A2">
        <w:rPr>
          <w:rFonts w:hint="eastAsia"/>
        </w:rPr>
        <w:t>刑事訴訟法等相關</w:t>
      </w:r>
      <w:r w:rsidR="00E3787A" w:rsidRPr="00A973A2">
        <w:rPr>
          <w:rFonts w:hint="eastAsia"/>
        </w:rPr>
        <w:t>判例或解釋）</w:t>
      </w:r>
      <w:r w:rsidR="00C824F2" w:rsidRPr="00A973A2">
        <w:rPr>
          <w:rFonts w:hint="eastAsia"/>
        </w:rPr>
        <w:t>牴觸憲法或法律者則再向司法院大法官聲請解釋，上開情形均非必然</w:t>
      </w:r>
      <w:r w:rsidR="004617CC" w:rsidRPr="00A973A2">
        <w:rPr>
          <w:rFonts w:hint="eastAsia"/>
        </w:rPr>
        <w:t>，</w:t>
      </w:r>
      <w:r w:rsidR="00C824F2" w:rsidRPr="00A973A2">
        <w:rPr>
          <w:rFonts w:hint="eastAsia"/>
        </w:rPr>
        <w:t>視其調查結果而為不同處理方式，或該調查報告僅為單純建議或查無違失而結案；就非裁判事項之司法行政事項，所提出調查報告通常僅為單純建議或查無違失，但若發現涉有違法或失職之情形則提起彈劾；再者若發見於調查時所適用之相關司法行政法令牴觸憲法或法律者則再向司法院大法官聲請解釋</w:t>
      </w:r>
      <w:r w:rsidR="0012364E" w:rsidRPr="00A973A2">
        <w:rPr>
          <w:rStyle w:val="aff"/>
          <w:rFonts w:hAnsi="標楷體"/>
          <w:szCs w:val="32"/>
        </w:rPr>
        <w:footnoteReference w:id="10"/>
      </w:r>
      <w:r w:rsidR="00C824F2" w:rsidRPr="00A973A2">
        <w:rPr>
          <w:rFonts w:hint="eastAsia"/>
        </w:rPr>
        <w:t>，上開情形均非必然</w:t>
      </w:r>
      <w:r w:rsidR="0012364E" w:rsidRPr="00A973A2">
        <w:rPr>
          <w:rFonts w:hint="eastAsia"/>
        </w:rPr>
        <w:t>，也是</w:t>
      </w:r>
      <w:r w:rsidR="00C824F2" w:rsidRPr="00A973A2">
        <w:rPr>
          <w:rFonts w:hint="eastAsia"/>
        </w:rPr>
        <w:t>視其調查結果而為不同處理方式</w:t>
      </w:r>
      <w:r w:rsidR="0012364E" w:rsidRPr="00A973A2">
        <w:rPr>
          <w:rFonts w:hint="eastAsia"/>
        </w:rPr>
        <w:t>，至於有關「抽象法令審查權」之確保與監察權之運作亦如行政權部分所述。</w:t>
      </w:r>
    </w:p>
    <w:p w:rsidR="007B5905" w:rsidRPr="00A973A2" w:rsidRDefault="00021CF2" w:rsidP="00C165B7">
      <w:pPr>
        <w:pStyle w:val="3"/>
        <w:rPr>
          <w:rFonts w:hAnsi="標楷體"/>
          <w:szCs w:val="32"/>
        </w:rPr>
      </w:pPr>
      <w:r w:rsidRPr="00A973A2">
        <w:rPr>
          <w:rFonts w:hAnsi="標楷體" w:hint="eastAsia"/>
          <w:szCs w:val="32"/>
        </w:rPr>
        <w:t>監察權依據憲法</w:t>
      </w:r>
      <w:r w:rsidR="00C165B7" w:rsidRPr="00A973A2">
        <w:rPr>
          <w:rFonts w:hAnsi="標楷體" w:hint="eastAsia"/>
          <w:szCs w:val="32"/>
        </w:rPr>
        <w:t>就</w:t>
      </w:r>
      <w:r w:rsidRPr="00A973A2">
        <w:rPr>
          <w:rFonts w:hAnsi="標楷體" w:hint="eastAsia"/>
          <w:szCs w:val="32"/>
        </w:rPr>
        <w:t>考試</w:t>
      </w:r>
      <w:r w:rsidR="007B5905" w:rsidRPr="00A973A2">
        <w:rPr>
          <w:rFonts w:hAnsi="標楷體" w:hint="eastAsia"/>
          <w:szCs w:val="32"/>
        </w:rPr>
        <w:t>權「合法性監督」與「合目的性」監督之具體運作</w:t>
      </w:r>
      <w:r w:rsidR="00C165B7" w:rsidRPr="00A973A2">
        <w:rPr>
          <w:rFonts w:hAnsi="標楷體" w:hint="eastAsia"/>
          <w:szCs w:val="32"/>
        </w:rPr>
        <w:t>，適用考試權所主管之法令。</w:t>
      </w:r>
    </w:p>
    <w:p w:rsidR="00C41479" w:rsidRPr="00A973A2" w:rsidRDefault="00021CF2" w:rsidP="00BC5A38">
      <w:pPr>
        <w:pStyle w:val="32"/>
        <w:ind w:left="1361" w:firstLine="680"/>
      </w:pPr>
      <w:r w:rsidRPr="00A973A2">
        <w:rPr>
          <w:rFonts w:hint="eastAsia"/>
        </w:rPr>
        <w:t>依據憲法第97條後段規定：「監察院對於中央及地方公務人員，認為有失職或違法情事，得提出糾舉案或彈劾案，如涉及刑事，應移送法院辦理。」監試法第1條規定：「舉行考試時，除檢覈外，依本法之規定，由考試院或考選機關分請監察院或監察委員行署派員監試。凡組織典試委員會辦理之考試，應咨請監察院派監察委員監試。凡考試院派員或委託有關機關辦理之考試，得由監察機關就地派員監試。」因監察權對於考試院人員就其違法或失職得為監督，而產生之調查權，具有保障基本人權維護考試公平之效果，間接影響對其考試及相關人事事務產生「合法性監督」與「合目的性監督」，其行憲以來運作</w:t>
      </w:r>
      <w:r w:rsidR="00DD2460" w:rsidRPr="00A973A2">
        <w:rPr>
          <w:rFonts w:hint="eastAsia"/>
        </w:rPr>
        <w:t>情形</w:t>
      </w:r>
      <w:r w:rsidR="00BC5A38" w:rsidRPr="00A973A2">
        <w:rPr>
          <w:rFonts w:hint="eastAsia"/>
        </w:rPr>
        <w:t>如圖3</w:t>
      </w:r>
      <w:r w:rsidRPr="00A973A2">
        <w:rPr>
          <w:rFonts w:hint="eastAsia"/>
        </w:rPr>
        <w:t>。</w:t>
      </w:r>
    </w:p>
    <w:p w:rsidR="00975CBC" w:rsidRPr="00A973A2" w:rsidRDefault="00DD2460" w:rsidP="004617CC">
      <w:pPr>
        <w:jc w:val="center"/>
      </w:pPr>
      <w:r w:rsidRPr="00A973A2">
        <w:rPr>
          <w:noProof/>
        </w:rPr>
        <w:drawing>
          <wp:inline distT="0" distB="0" distL="0" distR="0" wp14:anchorId="27030B9D" wp14:editId="3AE1450D">
            <wp:extent cx="4908550" cy="3543300"/>
            <wp:effectExtent l="0" t="0" r="6350" b="0"/>
            <wp:docPr id="3" name="圖片 3"/>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9722" cy="3544146"/>
                    </a:xfrm>
                    <a:prstGeom prst="rect">
                      <a:avLst/>
                    </a:prstGeom>
                    <a:noFill/>
                  </pic:spPr>
                </pic:pic>
              </a:graphicData>
            </a:graphic>
          </wp:inline>
        </w:drawing>
      </w:r>
    </w:p>
    <w:p w:rsidR="00F3523A" w:rsidRPr="00A973A2" w:rsidRDefault="00F3523A" w:rsidP="00F3523A">
      <w:pPr>
        <w:pStyle w:val="af6"/>
      </w:pPr>
      <w:r w:rsidRPr="00A973A2">
        <w:rPr>
          <w:rFonts w:hint="eastAsia"/>
        </w:rPr>
        <w:t>註</w:t>
      </w:r>
      <w:r w:rsidRPr="00A973A2">
        <w:rPr>
          <w:rFonts w:ascii="新細明體" w:eastAsia="新細明體" w:hAnsi="新細明體" w:hint="eastAsia"/>
        </w:rPr>
        <w:t>：</w:t>
      </w:r>
      <w:r w:rsidRPr="00A973A2">
        <w:rPr>
          <w:rFonts w:hint="eastAsia"/>
        </w:rPr>
        <w:t>實線表示必然進行監察程序，虛線表示經過監察院相關程序如院會或彈劾案審查會等，所為程序，監察權對考試權之監督必然會提出調查報告。</w:t>
      </w:r>
    </w:p>
    <w:p w:rsidR="004617CC" w:rsidRPr="00A973A2" w:rsidRDefault="004617CC" w:rsidP="004617CC">
      <w:pPr>
        <w:pStyle w:val="a1"/>
      </w:pPr>
      <w:r w:rsidRPr="00A973A2">
        <w:rPr>
          <w:rFonts w:hAnsi="標楷體" w:hint="eastAsia"/>
          <w:szCs w:val="32"/>
        </w:rPr>
        <w:t>監察權對考試權監督</w:t>
      </w:r>
    </w:p>
    <w:p w:rsidR="0020166F" w:rsidRPr="00A973A2" w:rsidRDefault="00D20B69" w:rsidP="00BC5A38">
      <w:pPr>
        <w:pStyle w:val="32"/>
        <w:ind w:left="1361" w:firstLine="680"/>
      </w:pPr>
      <w:r w:rsidRPr="00A973A2">
        <w:rPr>
          <w:rFonts w:hint="eastAsia"/>
        </w:rPr>
        <w:t>從圖</w:t>
      </w:r>
      <w:r w:rsidR="00BC5A38" w:rsidRPr="00A973A2">
        <w:rPr>
          <w:rFonts w:hint="eastAsia"/>
        </w:rPr>
        <w:t>3</w:t>
      </w:r>
      <w:r w:rsidRPr="00A973A2">
        <w:rPr>
          <w:rFonts w:hint="eastAsia"/>
        </w:rPr>
        <w:t>可知，監察院依據憲法第97條後段對人「違法或失職」所生調查權，必然提出調查報告，因而就考試權事項間接產生「合法性監督」與「合目的性監督</w:t>
      </w:r>
      <w:r w:rsidR="00BC5A38" w:rsidRPr="00A973A2">
        <w:rPr>
          <w:rFonts w:hint="eastAsia"/>
        </w:rPr>
        <w:t>」</w:t>
      </w:r>
      <w:r w:rsidRPr="00A973A2">
        <w:rPr>
          <w:rFonts w:hint="eastAsia"/>
        </w:rPr>
        <w:t>之情形，</w:t>
      </w:r>
      <w:r w:rsidR="00616230" w:rsidRPr="00A973A2">
        <w:rPr>
          <w:rFonts w:hint="eastAsia"/>
        </w:rPr>
        <w:t>但無任何強制力，</w:t>
      </w:r>
      <w:r w:rsidRPr="00A973A2">
        <w:rPr>
          <w:rFonts w:hint="eastAsia"/>
        </w:rPr>
        <w:t>就合法性監督而言，視其調查結果或僅為單純建議或查無違失而結案，但若發現考試院人員涉有違法或失職之情形則提起彈劾；再者若發見於調查時所適用之相關考試行政法令牴觸憲法或法律者則再向司法院大法官聲請解釋，上開情形亦均非必然</w:t>
      </w:r>
      <w:r w:rsidR="00186E78" w:rsidRPr="00A973A2">
        <w:rPr>
          <w:rFonts w:hint="eastAsia"/>
        </w:rPr>
        <w:t>，</w:t>
      </w:r>
      <w:r w:rsidRPr="00A973A2">
        <w:rPr>
          <w:rFonts w:hint="eastAsia"/>
        </w:rPr>
        <w:t>至於有關「抽象法令審查權」之確保與監察權之運作亦如行政權部分所述。</w:t>
      </w:r>
    </w:p>
    <w:p w:rsidR="00DD2460" w:rsidRPr="00A973A2" w:rsidRDefault="00524DF6" w:rsidP="00795571">
      <w:pPr>
        <w:pStyle w:val="3"/>
        <w:rPr>
          <w:rFonts w:hAnsi="標楷體"/>
          <w:szCs w:val="32"/>
        </w:rPr>
      </w:pPr>
      <w:r w:rsidRPr="00A973A2">
        <w:rPr>
          <w:rFonts w:hAnsi="標楷體" w:hint="eastAsia"/>
          <w:szCs w:val="32"/>
        </w:rPr>
        <w:t>監察院法令違憲審查權之憲政機制，具有人權保障之重大</w:t>
      </w:r>
      <w:r w:rsidR="00795571" w:rsidRPr="00A973A2">
        <w:rPr>
          <w:rFonts w:hAnsi="標楷體" w:hint="eastAsia"/>
          <w:szCs w:val="32"/>
        </w:rPr>
        <w:t>機能，從憲政監察實務上，並無侵害其他機關之核心權力，從監察機關之</w:t>
      </w:r>
      <w:r w:rsidR="00773DA1" w:rsidRPr="00A973A2">
        <w:rPr>
          <w:rFonts w:hAnsi="標楷體" w:hint="eastAsia"/>
          <w:szCs w:val="32"/>
        </w:rPr>
        <w:t>機關</w:t>
      </w:r>
      <w:r w:rsidR="00795571" w:rsidRPr="00A973A2">
        <w:rPr>
          <w:rFonts w:hAnsi="標楷體" w:hint="eastAsia"/>
          <w:szCs w:val="32"/>
        </w:rPr>
        <w:t>最適功能論而言，透過調查權監督其他機關，因而</w:t>
      </w:r>
      <w:r w:rsidR="003746A3" w:rsidRPr="00A973A2">
        <w:rPr>
          <w:rFonts w:hAnsi="標楷體" w:hint="eastAsia"/>
          <w:szCs w:val="32"/>
        </w:rPr>
        <w:t>「必然」</w:t>
      </w:r>
      <w:r w:rsidR="00795571" w:rsidRPr="00A973A2">
        <w:rPr>
          <w:rFonts w:hAnsi="標楷體" w:hint="eastAsia"/>
          <w:szCs w:val="32"/>
        </w:rPr>
        <w:t>適用其他機關主管法令加以審查，</w:t>
      </w:r>
      <w:r w:rsidR="003C5E34" w:rsidRPr="00A973A2">
        <w:rPr>
          <w:rFonts w:hAnsi="標楷體" w:hint="eastAsia"/>
          <w:szCs w:val="32"/>
        </w:rPr>
        <w:t>而</w:t>
      </w:r>
      <w:r w:rsidR="00795571" w:rsidRPr="00A973A2">
        <w:rPr>
          <w:rFonts w:hAnsi="標楷體" w:hint="eastAsia"/>
          <w:szCs w:val="32"/>
        </w:rPr>
        <w:t>與司法院大法官相互配合，充分發揮違憲審查制度</w:t>
      </w:r>
      <w:r w:rsidR="009A5AA5" w:rsidRPr="00A973A2">
        <w:rPr>
          <w:rFonts w:hAnsi="標楷體" w:hint="eastAsia"/>
          <w:szCs w:val="32"/>
        </w:rPr>
        <w:t>之功能</w:t>
      </w:r>
      <w:r w:rsidR="00795571" w:rsidRPr="00A973A2">
        <w:rPr>
          <w:rFonts w:hAnsi="標楷體" w:hint="eastAsia"/>
          <w:szCs w:val="32"/>
        </w:rPr>
        <w:t>，</w:t>
      </w:r>
      <w:r w:rsidR="00CB39FE" w:rsidRPr="00A973A2">
        <w:rPr>
          <w:rFonts w:hAnsi="標楷體" w:hint="eastAsia"/>
          <w:szCs w:val="32"/>
        </w:rPr>
        <w:t>保衛司法院大法官</w:t>
      </w:r>
      <w:r w:rsidR="00795571" w:rsidRPr="00A973A2">
        <w:rPr>
          <w:rFonts w:hAnsi="標楷體" w:hint="eastAsia"/>
          <w:szCs w:val="32"/>
        </w:rPr>
        <w:t>作為司法正義之</w:t>
      </w:r>
      <w:r w:rsidR="003C5E34" w:rsidRPr="00A973A2">
        <w:rPr>
          <w:rFonts w:hAnsi="標楷體" w:hint="eastAsia"/>
          <w:szCs w:val="32"/>
        </w:rPr>
        <w:t>最後</w:t>
      </w:r>
      <w:r w:rsidR="00795571" w:rsidRPr="00A973A2">
        <w:rPr>
          <w:rFonts w:hAnsi="標楷體" w:hint="eastAsia"/>
          <w:szCs w:val="32"/>
        </w:rPr>
        <w:t>堡壘</w:t>
      </w:r>
      <w:r w:rsidRPr="00A973A2">
        <w:rPr>
          <w:rFonts w:hAnsi="標楷體" w:hint="eastAsia"/>
          <w:szCs w:val="32"/>
        </w:rPr>
        <w:t>。</w:t>
      </w:r>
    </w:p>
    <w:p w:rsidR="002D3785" w:rsidRPr="00A973A2" w:rsidRDefault="002D3785" w:rsidP="00795571">
      <w:pPr>
        <w:pStyle w:val="4"/>
        <w:rPr>
          <w:rFonts w:hAnsi="標楷體"/>
          <w:szCs w:val="32"/>
        </w:rPr>
      </w:pPr>
      <w:r w:rsidRPr="00A973A2">
        <w:rPr>
          <w:rFonts w:hAnsi="標楷體" w:hint="eastAsia"/>
          <w:szCs w:val="32"/>
        </w:rPr>
        <w:t>違憲審查制度是美國於</w:t>
      </w:r>
      <w:r w:rsidR="00F02C52" w:rsidRPr="00A973A2">
        <w:rPr>
          <w:rFonts w:hAnsi="標楷體" w:hint="eastAsia"/>
          <w:szCs w:val="32"/>
        </w:rPr>
        <w:t>西元</w:t>
      </w:r>
      <w:r w:rsidRPr="00A973A2">
        <w:rPr>
          <w:rFonts w:hAnsi="標楷體" w:hint="eastAsia"/>
          <w:szCs w:val="32"/>
        </w:rPr>
        <w:t>1803年透過</w:t>
      </w:r>
      <w:r w:rsidRPr="00A973A2">
        <w:rPr>
          <w:rFonts w:hAnsi="標楷體"/>
          <w:szCs w:val="32"/>
        </w:rPr>
        <w:t>Marbury V. Madison</w:t>
      </w:r>
      <w:r w:rsidRPr="00A973A2">
        <w:rPr>
          <w:rFonts w:hAnsi="標楷體" w:hint="eastAsia"/>
          <w:szCs w:val="32"/>
        </w:rPr>
        <w:t>案的裁判，以及其後一連串有關判決，透過</w:t>
      </w:r>
      <w:r w:rsidR="00773DA1" w:rsidRPr="00A973A2">
        <w:rPr>
          <w:rFonts w:hAnsi="標楷體" w:hint="eastAsia"/>
          <w:szCs w:val="32"/>
        </w:rPr>
        <w:t>「</w:t>
      </w:r>
      <w:r w:rsidRPr="00A973A2">
        <w:rPr>
          <w:rFonts w:hAnsi="標楷體" w:hint="eastAsia"/>
          <w:szCs w:val="32"/>
        </w:rPr>
        <w:t>憲政慣例</w:t>
      </w:r>
      <w:r w:rsidR="00773DA1" w:rsidRPr="00A973A2">
        <w:rPr>
          <w:rFonts w:hAnsi="標楷體" w:hint="eastAsia"/>
          <w:szCs w:val="32"/>
        </w:rPr>
        <w:t>」</w:t>
      </w:r>
      <w:r w:rsidR="00773DA1" w:rsidRPr="00A973A2">
        <w:rPr>
          <w:rStyle w:val="aff"/>
          <w:rFonts w:hAnsi="標楷體"/>
          <w:szCs w:val="32"/>
        </w:rPr>
        <w:footnoteReference w:id="11"/>
      </w:r>
      <w:r w:rsidRPr="00A973A2">
        <w:rPr>
          <w:rFonts w:hAnsi="標楷體" w:hint="eastAsia"/>
          <w:szCs w:val="32"/>
        </w:rPr>
        <w:t>所形成的制度；當時美國憲法條文並無明文規定，而是依據超憲法</w:t>
      </w:r>
      <w:r w:rsidR="00F33EFC" w:rsidRPr="00A973A2">
        <w:rPr>
          <w:rFonts w:hAnsi="標楷體" w:hint="eastAsia"/>
          <w:szCs w:val="32"/>
        </w:rPr>
        <w:t>條文之</w:t>
      </w:r>
      <w:r w:rsidRPr="00A973A2">
        <w:rPr>
          <w:rFonts w:hAnsi="標楷體" w:hint="eastAsia"/>
          <w:szCs w:val="32"/>
        </w:rPr>
        <w:t>基本</w:t>
      </w:r>
      <w:r w:rsidR="00F33EFC" w:rsidRPr="00A973A2">
        <w:rPr>
          <w:rFonts w:hAnsi="標楷體" w:hint="eastAsia"/>
          <w:szCs w:val="32"/>
        </w:rPr>
        <w:t>憲政邏輯</w:t>
      </w:r>
      <w:r w:rsidRPr="00A973A2">
        <w:rPr>
          <w:rFonts w:hAnsi="標楷體" w:hint="eastAsia"/>
          <w:szCs w:val="32"/>
        </w:rPr>
        <w:t>原理產生。其推理係以國會制定的「法律」與「憲法」矛盾對立時，是否允許國會立法可以改變憲法，或是抑制法律的作用，維護憲法是最高法規範的本質。當時學說認為若允許法律繼續有效並產生作用，則隨各種新法律的制定，憲法將成廢物，故選擇維護憲法。美國基於</w:t>
      </w:r>
      <w:r w:rsidR="00524DF6" w:rsidRPr="00A973A2">
        <w:rPr>
          <w:rFonts w:hAnsi="標楷體" w:hint="eastAsia"/>
          <w:szCs w:val="32"/>
        </w:rPr>
        <w:t>憲法最高性，任何一個法院都可以進行違憲審查，作為分散審查制</w:t>
      </w:r>
      <w:r w:rsidRPr="00A973A2">
        <w:rPr>
          <w:rFonts w:hAnsi="標楷體" w:hint="eastAsia"/>
          <w:szCs w:val="32"/>
        </w:rPr>
        <w:t>，</w:t>
      </w:r>
      <w:r w:rsidR="007B3C02" w:rsidRPr="00A973A2">
        <w:rPr>
          <w:rFonts w:hAnsi="標楷體" w:hint="eastAsia"/>
          <w:szCs w:val="32"/>
        </w:rPr>
        <w:t>則必然</w:t>
      </w:r>
      <w:r w:rsidRPr="00A973A2">
        <w:rPr>
          <w:rFonts w:hAnsi="標楷體" w:hint="eastAsia"/>
          <w:szCs w:val="32"/>
        </w:rPr>
        <w:t>具有強大人權保障功能。一般而言，違憲審查的首要目的，就是保障人權；司法獨立更是社會正義的最後仲裁。但如果人民對於司法普遍不信賴，實應更深思存在司法界的制度性課題，分析如下：1、保障人權：議會雖然聲稱是代表國民意思的機關，但在選舉條件的限制下，實際上所選出的代表，幾乎都屬既得利益階級的成員。再加上議會運作必須以協商、利益交換為手段，更使其決議常侵害到弱者及少數者的權利。因此，唯有期待議會之外的司法機關或中立客觀的機構，能對議會的立法再一次加以審查，以確保每一個個別存在的人權。「附隨審查型」就是以此為出發點，所形成的制度。2、守護憲法：憲法規範國家機關的權限，因此國家機關運作時，是否遵守憲法規定；機關相互之間的作用發生爭議時，都必須有一個維護憲法秩序，防止憲法被侵害、破壞的制度。「憲法法院型」就是以這個目的為主，所形成的制度。3、權力制衡：民主政治由人民選舉代表組成國會，由國會採取「多數決」制定法律的過程，並非「全體國民」的意志或同意，反對者、落選者的意見常被忽略。而且根據歷史經驗，多數意見未必正確，特別是涉及人權保障及各種不同群體權益的部分，更應該存在排除「多數決」拘束的空間。</w:t>
      </w:r>
    </w:p>
    <w:p w:rsidR="00524DF6" w:rsidRPr="00A973A2" w:rsidRDefault="00C165B7" w:rsidP="00C622DC">
      <w:pPr>
        <w:pStyle w:val="4"/>
        <w:rPr>
          <w:rFonts w:hAnsi="標楷體"/>
        </w:rPr>
      </w:pPr>
      <w:r w:rsidRPr="00A973A2">
        <w:rPr>
          <w:rFonts w:hAnsi="標楷體" w:hint="eastAsia"/>
        </w:rPr>
        <w:t>從機關功能最適論而言</w:t>
      </w:r>
      <w:r w:rsidR="002206FD" w:rsidRPr="00A973A2">
        <w:rPr>
          <w:rFonts w:hAnsi="標楷體" w:hint="eastAsia"/>
        </w:rPr>
        <w:t>，</w:t>
      </w:r>
      <w:r w:rsidR="00D0346F" w:rsidRPr="00A973A2">
        <w:rPr>
          <w:rFonts w:hAnsi="標楷體" w:hint="eastAsia"/>
        </w:rPr>
        <w:t>主張國家事務應由在內部組織、組成、功能與議事決定方式等各方面均</w:t>
      </w:r>
      <w:r w:rsidR="00C622DC" w:rsidRPr="00A973A2">
        <w:rPr>
          <w:rFonts w:hAnsi="標楷體" w:hint="eastAsia"/>
        </w:rPr>
        <w:t>具備最佳條件之機關來擔當作成。與「權力核心領域理論」相同者為</w:t>
      </w:r>
      <w:r w:rsidR="00D0346F" w:rsidRPr="00A973A2">
        <w:rPr>
          <w:rFonts w:hAnsi="標楷體" w:hint="eastAsia"/>
        </w:rPr>
        <w:t>功能最適理論亦認為即使行政須向國會負責，無論如何仍以有一定之行政自我負責之核心領域存在為前提，對於權力分立的理解，不再拘泥於傳統防止濫權、保障人權之觀點，而提出一個功能最適，擔保國家決定盡可能達到正確境地的新觀點</w:t>
      </w:r>
      <w:r w:rsidR="00D0346F" w:rsidRPr="00A973A2">
        <w:rPr>
          <w:rStyle w:val="aff"/>
          <w:rFonts w:hAnsi="標楷體"/>
          <w:szCs w:val="32"/>
        </w:rPr>
        <w:footnoteReference w:id="12"/>
      </w:r>
      <w:r w:rsidR="00D0346F" w:rsidRPr="00A973A2">
        <w:rPr>
          <w:rFonts w:hAnsi="標楷體" w:hint="eastAsia"/>
        </w:rPr>
        <w:t>。</w:t>
      </w:r>
      <w:r w:rsidR="002206FD" w:rsidRPr="00A973A2">
        <w:rPr>
          <w:rFonts w:hAnsi="標楷體" w:hint="eastAsia"/>
        </w:rPr>
        <w:t>監察院為中華民國最高監察機關之憲法地位係無庸置疑，不談古代皇權封駁詔書，阻止不當法令或行政措施之公布施行；也不談制憲前五五憲草時代將法令違憲審查權之發動機關專屬於監察院，</w:t>
      </w:r>
      <w:r w:rsidR="002206FD" w:rsidRPr="00A973A2">
        <w:rPr>
          <w:rFonts w:hAnsi="標楷體" w:hint="eastAsia"/>
          <w:u w:val="single"/>
        </w:rPr>
        <w:t>單就</w:t>
      </w:r>
      <w:r w:rsidR="00BE5F36" w:rsidRPr="00A973A2">
        <w:rPr>
          <w:rFonts w:hAnsi="標楷體" w:hint="eastAsia"/>
          <w:u w:val="single"/>
        </w:rPr>
        <w:t>「人權保障」之功能，</w:t>
      </w:r>
      <w:r w:rsidR="009A742B" w:rsidRPr="00A973A2">
        <w:rPr>
          <w:rFonts w:hAnsi="標楷體" w:hint="eastAsia"/>
          <w:u w:val="single"/>
        </w:rPr>
        <w:t>必須透過調查權監督其他機關，並需賦予監察權接受人民陳情，立足全體國民，依據</w:t>
      </w:r>
      <w:r w:rsidR="002D3785" w:rsidRPr="00A973A2">
        <w:rPr>
          <w:rFonts w:hAnsi="標楷體" w:hint="eastAsia"/>
          <w:u w:val="single"/>
        </w:rPr>
        <w:t>憲法規範，再次審查</w:t>
      </w:r>
      <w:r w:rsidR="009A742B" w:rsidRPr="00A973A2">
        <w:rPr>
          <w:rFonts w:hAnsi="標楷體" w:hint="eastAsia"/>
          <w:u w:val="single"/>
        </w:rPr>
        <w:t>其他機關主管法令之權限</w:t>
      </w:r>
      <w:r w:rsidR="00D0346F" w:rsidRPr="00A973A2">
        <w:rPr>
          <w:rFonts w:hAnsi="標楷體" w:hint="eastAsia"/>
          <w:u w:val="single"/>
        </w:rPr>
        <w:t>，</w:t>
      </w:r>
      <w:r w:rsidR="00C622DC" w:rsidRPr="00A973A2">
        <w:rPr>
          <w:rFonts w:hAnsi="標楷體" w:hint="eastAsia"/>
          <w:szCs w:val="32"/>
          <w:u w:val="single"/>
        </w:rPr>
        <w:t>而與司法院大法官相互配合，充分發揮違憲審查制度之功能，保衛司法院大法官作為司法正義之最後堡壘。</w:t>
      </w:r>
    </w:p>
    <w:p w:rsidR="00D133D7" w:rsidRPr="00A973A2" w:rsidRDefault="00D133D7" w:rsidP="00D133D7"/>
    <w:p w:rsidR="00302810" w:rsidRPr="00A973A2" w:rsidRDefault="00D47315" w:rsidP="00CC1791">
      <w:pPr>
        <w:pStyle w:val="1"/>
        <w:ind w:left="681" w:hangingChars="200" w:hanging="681"/>
        <w:rPr>
          <w:rFonts w:hAnsi="標楷體"/>
          <w:b/>
          <w:szCs w:val="32"/>
        </w:rPr>
      </w:pPr>
      <w:r w:rsidRPr="00A973A2">
        <w:rPr>
          <w:rFonts w:hAnsi="標楷體" w:hint="eastAsia"/>
          <w:b/>
          <w:szCs w:val="32"/>
        </w:rPr>
        <w:t>從</w:t>
      </w:r>
      <w:r w:rsidR="003F244D" w:rsidRPr="00A973A2">
        <w:rPr>
          <w:rFonts w:hAnsi="標楷體" w:hint="eastAsia"/>
          <w:b/>
          <w:szCs w:val="32"/>
        </w:rPr>
        <w:t>監察</w:t>
      </w:r>
      <w:r w:rsidR="009A5AA5" w:rsidRPr="00A973A2">
        <w:rPr>
          <w:rFonts w:hAnsi="標楷體" w:hint="eastAsia"/>
          <w:b/>
          <w:szCs w:val="32"/>
        </w:rPr>
        <w:t>「</w:t>
      </w:r>
      <w:r w:rsidRPr="00A973A2">
        <w:rPr>
          <w:rFonts w:hAnsi="標楷體" w:hint="eastAsia"/>
          <w:b/>
          <w:szCs w:val="32"/>
        </w:rPr>
        <w:t>法律解釋</w:t>
      </w:r>
      <w:r w:rsidR="003F244D" w:rsidRPr="00A973A2">
        <w:rPr>
          <w:rFonts w:hAnsi="標楷體" w:hint="eastAsia"/>
          <w:b/>
          <w:szCs w:val="32"/>
        </w:rPr>
        <w:t>論</w:t>
      </w:r>
      <w:r w:rsidR="009A5AA5" w:rsidRPr="00A973A2">
        <w:rPr>
          <w:rFonts w:hAnsi="標楷體" w:hint="eastAsia"/>
          <w:b/>
          <w:szCs w:val="32"/>
        </w:rPr>
        <w:t>」</w:t>
      </w:r>
      <w:r w:rsidR="003F244D" w:rsidRPr="00A973A2">
        <w:rPr>
          <w:rFonts w:hAnsi="標楷體" w:hint="eastAsia"/>
          <w:b/>
          <w:szCs w:val="32"/>
        </w:rPr>
        <w:t>而言，憲法規定監察院作為國家最高監</w:t>
      </w:r>
      <w:r w:rsidR="00CC1791" w:rsidRPr="00A973A2">
        <w:rPr>
          <w:rFonts w:hAnsi="標楷體" w:hint="eastAsia"/>
          <w:b/>
          <w:szCs w:val="32"/>
        </w:rPr>
        <w:t>察機關於行使職權時，必然就調查時所適用之系爭法令產生監察解釋，於該法律是否違憲或</w:t>
      </w:r>
      <w:r w:rsidR="003F244D" w:rsidRPr="00A973A2">
        <w:rPr>
          <w:rFonts w:hAnsi="標楷體" w:hint="eastAsia"/>
          <w:b/>
          <w:szCs w:val="32"/>
        </w:rPr>
        <w:t>與主管機關解釋法令相衝突時，無法透過監察權解決</w:t>
      </w:r>
      <w:r w:rsidR="00CC1791" w:rsidRPr="00A973A2">
        <w:rPr>
          <w:rFonts w:hAnsi="標楷體" w:hint="eastAsia"/>
          <w:b/>
          <w:szCs w:val="32"/>
        </w:rPr>
        <w:t>，</w:t>
      </w:r>
      <w:r w:rsidR="003F244D" w:rsidRPr="00A973A2">
        <w:rPr>
          <w:rFonts w:hAnsi="標楷體" w:hint="eastAsia"/>
          <w:b/>
          <w:szCs w:val="32"/>
        </w:rPr>
        <w:t>而聲請司法院大法官解釋，主要係以行使調查權聲請解釋憲法為主。</w:t>
      </w:r>
    </w:p>
    <w:p w:rsidR="00D47315" w:rsidRPr="00A973A2" w:rsidRDefault="00CD5EA6" w:rsidP="00F02C52">
      <w:pPr>
        <w:pStyle w:val="2"/>
      </w:pPr>
      <w:r w:rsidRPr="00A973A2">
        <w:rPr>
          <w:rFonts w:hint="eastAsia"/>
        </w:rPr>
        <w:t>憲法規定監察院作為國家最高監察機關於行使職權時，</w:t>
      </w:r>
      <w:r w:rsidR="002A5C16" w:rsidRPr="00A973A2">
        <w:rPr>
          <w:rFonts w:hint="eastAsia"/>
        </w:rPr>
        <w:t>必然就調查時所適用之系爭法令產生監察解釋（意見）</w:t>
      </w:r>
      <w:r w:rsidR="00F02C52" w:rsidRPr="00A973A2">
        <w:rPr>
          <w:rFonts w:hint="eastAsia"/>
        </w:rPr>
        <w:t>，</w:t>
      </w:r>
      <w:r w:rsidR="00F02C52" w:rsidRPr="00A973A2">
        <w:rPr>
          <w:rFonts w:hAnsi="標楷體" w:hint="eastAsia"/>
          <w:szCs w:val="32"/>
        </w:rPr>
        <w:t>行使調查權調查系爭法令所為監察解釋（意見）具有憲法基礎</w:t>
      </w:r>
      <w:r w:rsidR="00331BF9" w:rsidRPr="00A973A2">
        <w:rPr>
          <w:rFonts w:hint="eastAsia"/>
        </w:rPr>
        <w:t>。</w:t>
      </w:r>
    </w:p>
    <w:p w:rsidR="00302810" w:rsidRPr="00A973A2" w:rsidRDefault="00CD5EA6" w:rsidP="00F02C52">
      <w:pPr>
        <w:pStyle w:val="3"/>
        <w:rPr>
          <w:b/>
        </w:rPr>
      </w:pPr>
      <w:r w:rsidRPr="00A973A2">
        <w:rPr>
          <w:rFonts w:hint="eastAsia"/>
        </w:rPr>
        <w:t>按</w:t>
      </w:r>
      <w:r w:rsidR="00302810" w:rsidRPr="00A973A2">
        <w:rPr>
          <w:rFonts w:hint="eastAsia"/>
        </w:rPr>
        <w:t>憲法第90條規定：「監察院為國家最高監察機關，</w:t>
      </w:r>
      <w:r w:rsidR="00486E47" w:rsidRPr="00A973A2">
        <w:rPr>
          <w:rFonts w:hint="eastAsia"/>
        </w:rPr>
        <w:t>……</w:t>
      </w:r>
      <w:r w:rsidR="00302810" w:rsidRPr="00A973A2">
        <w:rPr>
          <w:rFonts w:hint="eastAsia"/>
        </w:rPr>
        <w:t>」</w:t>
      </w:r>
      <w:r w:rsidR="00486E47" w:rsidRPr="00A973A2">
        <w:rPr>
          <w:rFonts w:hint="eastAsia"/>
        </w:rPr>
        <w:t>、</w:t>
      </w:r>
      <w:r w:rsidR="00302810" w:rsidRPr="00A973A2">
        <w:rPr>
          <w:rFonts w:hint="eastAsia"/>
        </w:rPr>
        <w:t>第95條規定：「監察院為行使監察</w:t>
      </w:r>
      <w:r w:rsidR="00D03230" w:rsidRPr="00A973A2">
        <w:rPr>
          <w:rFonts w:hint="eastAsia"/>
        </w:rPr>
        <w:t>權，得向行政院及其各部會調閱其所發布之命令及各種有關文件。」、</w:t>
      </w:r>
      <w:r w:rsidR="00302810" w:rsidRPr="00A973A2">
        <w:rPr>
          <w:rFonts w:hint="eastAsia"/>
        </w:rPr>
        <w:t>第96條規定：「監察院得</w:t>
      </w:r>
      <w:r w:rsidR="00486E47" w:rsidRPr="00A973A2">
        <w:rPr>
          <w:rFonts w:hint="eastAsia"/>
        </w:rPr>
        <w:t>……</w:t>
      </w:r>
      <w:r w:rsidR="00302810" w:rsidRPr="00A973A2">
        <w:rPr>
          <w:rFonts w:hint="eastAsia"/>
        </w:rPr>
        <w:t>調查一切設施，注意其是否違法或失職。」</w:t>
      </w:r>
      <w:r w:rsidR="00D03230" w:rsidRPr="00A973A2">
        <w:rPr>
          <w:rFonts w:hint="eastAsia"/>
        </w:rPr>
        <w:t>及</w:t>
      </w:r>
      <w:r w:rsidR="00302810" w:rsidRPr="00A973A2">
        <w:rPr>
          <w:rFonts w:hint="eastAsia"/>
        </w:rPr>
        <w:t>第97條規定：「監察院經各該委員會之審查及決議，得提出糾正案，移送行政院及其有關部會，促其注意改善。監察院對於中央及地方公務人員，認為有失職或違法情事，得提出糾舉案或彈劾案，如涉及刑事，應移送法院辦理。」</w:t>
      </w:r>
      <w:r w:rsidRPr="00A973A2">
        <w:rPr>
          <w:rFonts w:hint="eastAsia"/>
          <w:b/>
        </w:rPr>
        <w:t>基於行使前揭職權所生之合法性監督與合目的性監督，必然適用各法律主管機關之法令，而產生就該法令作為中華民國最高監察機關之監察解釋（意見）</w:t>
      </w:r>
      <w:r w:rsidR="002A5C16" w:rsidRPr="00A973A2">
        <w:rPr>
          <w:rFonts w:hint="eastAsia"/>
          <w:b/>
        </w:rPr>
        <w:t>。</w:t>
      </w:r>
    </w:p>
    <w:p w:rsidR="002A5C16" w:rsidRPr="00A973A2" w:rsidRDefault="002A5C16" w:rsidP="00486E47">
      <w:pPr>
        <w:pStyle w:val="3"/>
      </w:pPr>
      <w:r w:rsidRPr="00A973A2">
        <w:rPr>
          <w:rFonts w:hint="eastAsia"/>
        </w:rPr>
        <w:t>監察院就系爭法律所為解釋，基於係為憲法最高監察機關之意旨及憲法明文要求監察權</w:t>
      </w:r>
      <w:r w:rsidR="006A1E18" w:rsidRPr="00A973A2">
        <w:rPr>
          <w:rFonts w:hint="eastAsia"/>
        </w:rPr>
        <w:t>就其他憲法機關（除立法院外）</w:t>
      </w:r>
      <w:r w:rsidRPr="00A973A2">
        <w:rPr>
          <w:rFonts w:hint="eastAsia"/>
        </w:rPr>
        <w:t>為合法性監督</w:t>
      </w:r>
      <w:r w:rsidR="006A1E18" w:rsidRPr="00A973A2">
        <w:rPr>
          <w:rFonts w:hint="eastAsia"/>
        </w:rPr>
        <w:t>，故就「系爭法律」</w:t>
      </w:r>
      <w:r w:rsidRPr="00A973A2">
        <w:rPr>
          <w:rFonts w:hint="eastAsia"/>
        </w:rPr>
        <w:t>所為是「法定解釋」</w:t>
      </w:r>
      <w:r w:rsidR="00486E47" w:rsidRPr="00A973A2">
        <w:rPr>
          <w:rFonts w:hint="eastAsia"/>
        </w:rPr>
        <w:t>；</w:t>
      </w:r>
      <w:r w:rsidR="00D06BF2" w:rsidRPr="00A973A2">
        <w:rPr>
          <w:rFonts w:hint="eastAsia"/>
        </w:rPr>
        <w:t>其審查範圍，據學者李建良見解大於司法審查範圍</w:t>
      </w:r>
      <w:r w:rsidR="00C245CF" w:rsidRPr="00A973A2">
        <w:rPr>
          <w:rFonts w:hint="eastAsia"/>
        </w:rPr>
        <w:t>，</w:t>
      </w:r>
      <w:r w:rsidR="00CC1791" w:rsidRPr="00A973A2">
        <w:rPr>
          <w:rFonts w:hint="eastAsia"/>
        </w:rPr>
        <w:t>惟</w:t>
      </w:r>
      <w:r w:rsidR="00C245CF" w:rsidRPr="00A973A2">
        <w:rPr>
          <w:rFonts w:hint="eastAsia"/>
        </w:rPr>
        <w:t>其所引用之司法院釋字第</w:t>
      </w:r>
      <w:r w:rsidR="003F244D" w:rsidRPr="00A973A2">
        <w:rPr>
          <w:rFonts w:hint="eastAsia"/>
        </w:rPr>
        <w:t>513</w:t>
      </w:r>
      <w:r w:rsidR="00C245CF" w:rsidRPr="00A973A2">
        <w:rPr>
          <w:rFonts w:hint="eastAsia"/>
        </w:rPr>
        <w:t>號解釋僅為</w:t>
      </w:r>
      <w:r w:rsidR="003F244D" w:rsidRPr="00A973A2">
        <w:rPr>
          <w:rFonts w:hint="eastAsia"/>
        </w:rPr>
        <w:t>監察</w:t>
      </w:r>
      <w:r w:rsidR="00C245CF" w:rsidRPr="00A973A2">
        <w:rPr>
          <w:rFonts w:hint="eastAsia"/>
        </w:rPr>
        <w:t>調查權之行使</w:t>
      </w:r>
      <w:r w:rsidR="00D06BF2" w:rsidRPr="00A973A2">
        <w:rPr>
          <w:rFonts w:hint="eastAsia"/>
        </w:rPr>
        <w:t>。</w:t>
      </w:r>
    </w:p>
    <w:p w:rsidR="002A5C16" w:rsidRPr="00A973A2" w:rsidRDefault="006A1E18" w:rsidP="00486E47">
      <w:pPr>
        <w:pStyle w:val="4"/>
      </w:pPr>
      <w:r w:rsidRPr="00A973A2">
        <w:rPr>
          <w:rFonts w:hint="eastAsia"/>
        </w:rPr>
        <w:t>所謂法定解釋另稱「機關解釋」或「強制解釋」，乃有權解釋機關基於本身職權所為之解釋。學理上固有1.</w:t>
      </w:r>
      <w:r w:rsidR="002A5C16" w:rsidRPr="00A973A2">
        <w:rPr>
          <w:rFonts w:hint="eastAsia"/>
        </w:rPr>
        <w:t>立法解釋</w:t>
      </w:r>
      <w:r w:rsidRPr="00A973A2">
        <w:rPr>
          <w:rStyle w:val="aff"/>
          <w:rFonts w:hAnsi="標楷體"/>
          <w:szCs w:val="32"/>
        </w:rPr>
        <w:footnoteReference w:id="13"/>
      </w:r>
      <w:r w:rsidRPr="00A973A2">
        <w:t>2.</w:t>
      </w:r>
      <w:r w:rsidRPr="00A973A2">
        <w:rPr>
          <w:rFonts w:hint="eastAsia"/>
        </w:rPr>
        <w:t>行政解釋</w:t>
      </w:r>
      <w:r w:rsidRPr="00A973A2">
        <w:rPr>
          <w:rStyle w:val="aff"/>
          <w:rFonts w:hAnsi="標楷體"/>
          <w:szCs w:val="32"/>
        </w:rPr>
        <w:footnoteReference w:id="14"/>
      </w:r>
      <w:r w:rsidRPr="00A973A2">
        <w:rPr>
          <w:rFonts w:hint="eastAsia"/>
        </w:rPr>
        <w:t>3.司法解釋</w:t>
      </w:r>
      <w:r w:rsidR="006C1DC9" w:rsidRPr="00A973A2">
        <w:rPr>
          <w:rStyle w:val="aff"/>
          <w:rFonts w:hAnsi="標楷體"/>
          <w:szCs w:val="32"/>
        </w:rPr>
        <w:footnoteReference w:id="15"/>
      </w:r>
      <w:r w:rsidRPr="00A973A2">
        <w:rPr>
          <w:rFonts w:hint="eastAsia"/>
        </w:rPr>
        <w:t>等區分</w:t>
      </w:r>
      <w:r w:rsidR="006C1DC9" w:rsidRPr="00A973A2">
        <w:rPr>
          <w:rFonts w:hint="eastAsia"/>
        </w:rPr>
        <w:t>，監察院行使調查權對於其他機關行使主管機關之法令，基於合法性監督之監察權本質，必會適用</w:t>
      </w:r>
      <w:r w:rsidR="004D4788" w:rsidRPr="00A973A2">
        <w:rPr>
          <w:rFonts w:hint="eastAsia"/>
        </w:rPr>
        <w:t>主管機關之法令</w:t>
      </w:r>
      <w:r w:rsidR="006C1DC9" w:rsidRPr="00A973A2">
        <w:rPr>
          <w:rFonts w:hint="eastAsia"/>
        </w:rPr>
        <w:t>，此從</w:t>
      </w:r>
      <w:r w:rsidR="00E17D26" w:rsidRPr="00A973A2">
        <w:rPr>
          <w:rFonts w:hint="eastAsia"/>
        </w:rPr>
        <w:t>憲法增修條文第7條規定：「監察委員須超出黨派以外，依據法律獨立行使職權。」與憲法第80條規定：「法官須超出黨派以外，依據法律獨立審判，不受任何干涉。」之法律構成要件之結構相類</w:t>
      </w:r>
      <w:r w:rsidR="00486E47" w:rsidRPr="00A973A2">
        <w:rPr>
          <w:rFonts w:hint="eastAsia"/>
        </w:rPr>
        <w:t>似</w:t>
      </w:r>
      <w:r w:rsidR="00E17D26" w:rsidRPr="00A973A2">
        <w:rPr>
          <w:rFonts w:hint="eastAsia"/>
        </w:rPr>
        <w:t>，依據司法院釋字第137號解釋，自得就適用系爭法律，加以解釋自明。</w:t>
      </w:r>
    </w:p>
    <w:p w:rsidR="002A5C16" w:rsidRPr="00A973A2" w:rsidRDefault="00E17D26" w:rsidP="00E66E16">
      <w:pPr>
        <w:pStyle w:val="4"/>
      </w:pPr>
      <w:r w:rsidRPr="00A973A2">
        <w:rPr>
          <w:rFonts w:hint="eastAsia"/>
        </w:rPr>
        <w:t>學者李建良於監察院對行政裁量的審查與界限乙文，強調監察院審查範圍大於司法審查範圍</w:t>
      </w:r>
      <w:r w:rsidR="00D03230" w:rsidRPr="00A973A2">
        <w:rPr>
          <w:rFonts w:hint="eastAsia"/>
        </w:rPr>
        <w:t>，</w:t>
      </w:r>
      <w:r w:rsidRPr="00A973A2">
        <w:rPr>
          <w:rFonts w:hint="eastAsia"/>
        </w:rPr>
        <w:t>其稱：「</w:t>
      </w:r>
      <w:r w:rsidR="00D06BF2" w:rsidRPr="00A973A2">
        <w:rPr>
          <w:rFonts w:hint="eastAsia"/>
        </w:rPr>
        <w:t>關於行政裁量的審查及其界限問題，向來學說多半集中在所謂</w:t>
      </w:r>
      <w:r w:rsidR="00486E47" w:rsidRPr="00A973A2">
        <w:rPr>
          <w:rFonts w:hint="eastAsia"/>
        </w:rPr>
        <w:t>『司法審查』</w:t>
      </w:r>
      <w:r w:rsidR="00D06BF2" w:rsidRPr="00A973A2">
        <w:rPr>
          <w:rFonts w:hint="eastAsia"/>
        </w:rPr>
        <w:t>的面向。修憲後，部分學者將監察院定位為</w:t>
      </w:r>
      <w:r w:rsidR="00486E47" w:rsidRPr="00A973A2">
        <w:rPr>
          <w:rFonts w:hint="eastAsia"/>
        </w:rPr>
        <w:t>『</w:t>
      </w:r>
      <w:r w:rsidR="00D06BF2" w:rsidRPr="00A973A2">
        <w:rPr>
          <w:rFonts w:hint="eastAsia"/>
        </w:rPr>
        <w:t>準司法機關</w:t>
      </w:r>
      <w:r w:rsidR="00486E47" w:rsidRPr="00A973A2">
        <w:rPr>
          <w:rFonts w:hint="eastAsia"/>
        </w:rPr>
        <w:t>』</w:t>
      </w:r>
      <w:r w:rsidR="00D06BF2" w:rsidRPr="00A973A2">
        <w:rPr>
          <w:rFonts w:hint="eastAsia"/>
        </w:rPr>
        <w:t>，從而行政裁量司法審查的相關學說及實務見解，似乎亦可直接套用到監察院對行政裁量的審查問題上。惟查司法院大法官釋字第</w:t>
      </w:r>
      <w:r w:rsidR="00486E47" w:rsidRPr="00A973A2">
        <w:rPr>
          <w:rFonts w:hint="eastAsia"/>
        </w:rPr>
        <w:t>325</w:t>
      </w:r>
      <w:r w:rsidR="00D06BF2" w:rsidRPr="00A973A2">
        <w:rPr>
          <w:rFonts w:hint="eastAsia"/>
        </w:rPr>
        <w:t>號解釋謂：</w:t>
      </w:r>
      <w:r w:rsidR="00486E47" w:rsidRPr="00A973A2">
        <w:rPr>
          <w:rFonts w:hint="eastAsia"/>
        </w:rPr>
        <w:t>『</w:t>
      </w:r>
      <w:r w:rsidR="00D06BF2" w:rsidRPr="00A973A2">
        <w:rPr>
          <w:rFonts w:hint="eastAsia"/>
        </w:rPr>
        <w:t>本院釋字第</w:t>
      </w:r>
      <w:r w:rsidR="00486E47" w:rsidRPr="00A973A2">
        <w:rPr>
          <w:rFonts w:hint="eastAsia"/>
        </w:rPr>
        <w:t>76</w:t>
      </w:r>
      <w:r w:rsidR="00D06BF2" w:rsidRPr="00A973A2">
        <w:rPr>
          <w:rFonts w:hint="eastAsia"/>
        </w:rPr>
        <w:t>號解釋認監察院與其他中央民意機構共同相當於民主國家之國會，於憲法增修條文第</w:t>
      </w:r>
      <w:r w:rsidR="00486E47" w:rsidRPr="00A973A2">
        <w:rPr>
          <w:rFonts w:hint="eastAsia"/>
        </w:rPr>
        <w:t>15</w:t>
      </w:r>
      <w:r w:rsidR="00D06BF2" w:rsidRPr="00A973A2">
        <w:rPr>
          <w:rFonts w:hint="eastAsia"/>
        </w:rPr>
        <w:t>條規定施行後，監察院已非中央民意機構，其地位及職權亦有所變更，上開解釋自不再適用於監察院。惟憲法之五院體制並未改變，原屬於監察院職權中之彈劾、糾舉、糾正權及為行使此等職權，依憲法第</w:t>
      </w:r>
      <w:r w:rsidR="00486E47" w:rsidRPr="00A973A2">
        <w:rPr>
          <w:rFonts w:hint="eastAsia"/>
        </w:rPr>
        <w:t>95</w:t>
      </w:r>
      <w:r w:rsidR="00D06BF2" w:rsidRPr="00A973A2">
        <w:rPr>
          <w:rFonts w:hint="eastAsia"/>
        </w:rPr>
        <w:t>條、第</w:t>
      </w:r>
      <w:r w:rsidR="00486E47" w:rsidRPr="00A973A2">
        <w:rPr>
          <w:rFonts w:hint="eastAsia"/>
        </w:rPr>
        <w:t>96</w:t>
      </w:r>
      <w:r w:rsidR="00D06BF2" w:rsidRPr="00A973A2">
        <w:rPr>
          <w:rFonts w:hint="eastAsia"/>
        </w:rPr>
        <w:t>條具有之調查權，憲法增修條文亦未修改，此項調查權仍應專由監察院行使。</w:t>
      </w:r>
      <w:r w:rsidR="00486E47" w:rsidRPr="00A973A2">
        <w:rPr>
          <w:rFonts w:hint="eastAsia"/>
        </w:rPr>
        <w:t>』</w:t>
      </w:r>
      <w:r w:rsidR="00D06BF2" w:rsidRPr="00A973A2">
        <w:rPr>
          <w:rFonts w:hint="eastAsia"/>
        </w:rPr>
        <w:t>根據本號解釋的意旨，修憲後，監察院僅喪失</w:t>
      </w:r>
      <w:r w:rsidR="00486E47" w:rsidRPr="00A973A2">
        <w:rPr>
          <w:rFonts w:hint="eastAsia"/>
        </w:rPr>
        <w:t>『</w:t>
      </w:r>
      <w:r w:rsidR="00D06BF2" w:rsidRPr="00A973A2">
        <w:rPr>
          <w:rFonts w:hint="eastAsia"/>
        </w:rPr>
        <w:t>國會</w:t>
      </w:r>
      <w:r w:rsidR="00486E47" w:rsidRPr="00A973A2">
        <w:rPr>
          <w:rFonts w:hint="eastAsia"/>
        </w:rPr>
        <w:t>』</w:t>
      </w:r>
      <w:r w:rsidR="00D06BF2" w:rsidRPr="00A973A2">
        <w:rPr>
          <w:rFonts w:hint="eastAsia"/>
        </w:rPr>
        <w:t>的性質 ，其作為相對於行政、立法、司法、考試四權以外之監察權的憲法機關地位，並未改變，</w:t>
      </w:r>
      <w:r w:rsidR="00D06BF2" w:rsidRPr="00A973A2">
        <w:rPr>
          <w:rFonts w:hint="eastAsia"/>
          <w:u w:val="single"/>
        </w:rPr>
        <w:t>更享有獨立的調查權，</w:t>
      </w:r>
      <w:r w:rsidR="00D06BF2" w:rsidRPr="00A973A2">
        <w:rPr>
          <w:rFonts w:hint="eastAsia"/>
        </w:rPr>
        <w:t>故有關監察院對行政裁量的監督範圍及審查界限，仍應從憲法(含憲法增修條文)賦予監察權的內容探求之。</w:t>
      </w:r>
      <w:r w:rsidR="00486E47" w:rsidRPr="00A973A2">
        <w:rPr>
          <w:rFonts w:hint="eastAsia"/>
        </w:rPr>
        <w:t>……</w:t>
      </w:r>
      <w:r w:rsidR="00D06BF2" w:rsidRPr="00A973A2">
        <w:rPr>
          <w:rFonts w:hint="eastAsia"/>
        </w:rPr>
        <w:t>監察院對於行政裁量的監督及其限制，基本上可以略先作如下的區分：一、監察院認為中央及地方公務人員行使裁量權有失職或違法情事，而欲提出彈劾案者，以有裁量瑕疵之違法情事為限。換言之，監察院行使(對人)彈劾權，對行政裁量進行監督，其審查範圍及界限，大體同於司法審查。二、監察院認為中央及地方公務人員行使裁量權有失職或違法情事，而欲提出糾舉案者，不以有裁量瑕疵之違法情事為限，尚可及於不合目的之不當情形。換言之，監察院行使(對人)糾舉權，對行政裁量進行監督，其審查範圍大於司法審查的範圍。三、監察院對中央機關的行政裁量，欲對之提出糾正案，促其改善者，不以有裁量瑕疵之違法情事為限，尚可及於不合目的之不當情形。換言之，</w:t>
      </w:r>
      <w:r w:rsidR="00D06BF2" w:rsidRPr="00A973A2">
        <w:rPr>
          <w:rFonts w:hint="eastAsia"/>
          <w:b/>
          <w:u w:val="single"/>
        </w:rPr>
        <w:t>監察院行使(對事)糾正權，對行政裁量進行監督，其審查範圍大於司法審查的範圍。監察院對行政裁量的監督範圍雖較司法審查為廣，惟就監督效果而言，除提出彈劾經公務員懲戒委員會議決而具有法律上之拘束力外，糾舉案及糾正案的提出，至多僅具有</w:t>
      </w:r>
      <w:r w:rsidR="00486E47" w:rsidRPr="00A973A2">
        <w:rPr>
          <w:rFonts w:hint="eastAsia"/>
          <w:b/>
          <w:u w:val="single"/>
        </w:rPr>
        <w:t>『</w:t>
      </w:r>
      <w:r w:rsidR="00D06BF2" w:rsidRPr="00A973A2">
        <w:rPr>
          <w:rFonts w:hint="eastAsia"/>
          <w:b/>
          <w:u w:val="single"/>
        </w:rPr>
        <w:t>促其改善</w:t>
      </w:r>
      <w:r w:rsidR="00486E47" w:rsidRPr="00A973A2">
        <w:rPr>
          <w:rFonts w:hint="eastAsia"/>
          <w:b/>
          <w:u w:val="single"/>
        </w:rPr>
        <w:t>』</w:t>
      </w:r>
      <w:r w:rsidR="00D06BF2" w:rsidRPr="00A973A2">
        <w:rPr>
          <w:rFonts w:hint="eastAsia"/>
          <w:b/>
          <w:u w:val="single"/>
        </w:rPr>
        <w:t>的效果，並不具法效性，更遑論強制執行</w:t>
      </w:r>
      <w:r w:rsidR="00D06BF2" w:rsidRPr="00A973A2">
        <w:rPr>
          <w:rFonts w:hint="eastAsia"/>
        </w:rPr>
        <w:t>。不過，在一個民主法治成熟進步的國家，行政部門一旦受到違法的指摘，必然會有所回應而知所改進，選民也必然會透過選票決定主政者的去留。因此，監察院對於行政裁量所為的監督與糾正，仍具有一定的匡正作用。</w:t>
      </w:r>
      <w:r w:rsidR="00D06BF2" w:rsidRPr="00A973A2">
        <w:rPr>
          <w:rFonts w:hint="eastAsia"/>
          <w:b/>
          <w:u w:val="single"/>
        </w:rPr>
        <w:t>此外，監察院尚可透過向大法官提出憲法解釋或統一解釋，藉由大法官解釋所具拘束全國各機關及人民的效力 ，以矯正行政部門的違法行為。此種由監察院發動釋憲以糾正行政部門違法情事的作法，在實務上，不乏此例。</w:t>
      </w:r>
      <w:r w:rsidR="00D06BF2" w:rsidRPr="00A973A2">
        <w:rPr>
          <w:rFonts w:hint="eastAsia"/>
        </w:rPr>
        <w:t>譬如監察院曾就有關都市計畫區內之非公共設施用地，行政院未經都市計畫變更程序，逕予辦理徵收，明顯違反土地法及都市計畫法規定等情乙案，以其與行政院之見解不同而影響人民財產權益甚鉅，有適法上之疑義，聲請解釋。大法官作成釋字第</w:t>
      </w:r>
      <w:r w:rsidR="00486E47" w:rsidRPr="00A973A2">
        <w:rPr>
          <w:rFonts w:hint="eastAsia"/>
        </w:rPr>
        <w:t>513</w:t>
      </w:r>
      <w:r w:rsidR="00D06BF2" w:rsidRPr="00A973A2">
        <w:rPr>
          <w:rFonts w:hint="eastAsia"/>
        </w:rPr>
        <w:t>號解釋，謂：</w:t>
      </w:r>
      <w:r w:rsidR="00486E47" w:rsidRPr="00A973A2">
        <w:rPr>
          <w:rFonts w:hint="eastAsia"/>
        </w:rPr>
        <w:t>『</w:t>
      </w:r>
      <w:r w:rsidR="00D06BF2" w:rsidRPr="00A973A2">
        <w:rPr>
          <w:rFonts w:hint="eastAsia"/>
        </w:rPr>
        <w:t>都市計畫法制定之目的，依其第</w:t>
      </w:r>
      <w:r w:rsidR="00486E47" w:rsidRPr="00A973A2">
        <w:rPr>
          <w:rFonts w:hint="eastAsia"/>
        </w:rPr>
        <w:t>1</w:t>
      </w:r>
      <w:r w:rsidR="00D06BF2" w:rsidRPr="00A973A2">
        <w:rPr>
          <w:rFonts w:hint="eastAsia"/>
        </w:rPr>
        <w:t>條規定，係為改善居民生活環境，並促進市、鎮、鄉街有計畫之均衡發展。都市計畫一經公告確定，即發生規範之效力。除法律別有規定外，各級政府所為土地之使用或徵收，自應符合已確定之都市計畫，若為增進公共利益之需要，固得徵收都市計畫區域內之土地，惟因其涉及對人民財產權之剝奪，應嚴守法定徵收土地之要件、踐行其程序，並遵照都市計畫法之相關規定。都市計畫法第</w:t>
      </w:r>
      <w:r w:rsidR="00486E47" w:rsidRPr="00A973A2">
        <w:rPr>
          <w:rFonts w:hint="eastAsia"/>
        </w:rPr>
        <w:t>52</w:t>
      </w:r>
      <w:r w:rsidR="00D06BF2" w:rsidRPr="00A973A2">
        <w:rPr>
          <w:rFonts w:hint="eastAsia"/>
        </w:rPr>
        <w:t>條前段：『都市計畫範圍內，各級政府徵收私有土地或撥用公有土地，不得妨礙當地都市計畫。』依其規範意旨，中央或地方興建公共設施，須徵收都市計畫中原非公共設施用地之私有土地時，自應先踐行變更都市計畫之程序，再予徵收，未經變更都市計畫即遽行徵收非公共設施用地之私有土地者，與上開規定有違。其依土地法辦理徵收未依法公告或不遵守法定</w:t>
      </w:r>
      <w:r w:rsidR="00486E47" w:rsidRPr="00A973A2">
        <w:rPr>
          <w:rFonts w:hint="eastAsia"/>
        </w:rPr>
        <w:t>30</w:t>
      </w:r>
      <w:r w:rsidR="00D06BF2" w:rsidRPr="00A973A2">
        <w:rPr>
          <w:rFonts w:hint="eastAsia"/>
        </w:rPr>
        <w:t>日期間者，自不生徵收之效力。若因徵收之公告記載日期與實際公告不符，致計算發生差異者，非以公告文載明之公告日期，而仍以實際公告日期為準，故應於實際徵收公告期間屆滿</w:t>
      </w:r>
      <w:r w:rsidR="00486E47" w:rsidRPr="00A973A2">
        <w:rPr>
          <w:rFonts w:hint="eastAsia"/>
        </w:rPr>
        <w:t>30</w:t>
      </w:r>
      <w:r w:rsidR="00D06BF2" w:rsidRPr="00A973A2">
        <w:rPr>
          <w:rFonts w:hint="eastAsia"/>
        </w:rPr>
        <w:t>日時發生效力。</w:t>
      </w:r>
      <w:r w:rsidR="00486E47" w:rsidRPr="00A973A2">
        <w:rPr>
          <w:rFonts w:hint="eastAsia"/>
        </w:rPr>
        <w:t>』</w:t>
      </w:r>
      <w:r w:rsidR="00D06BF2" w:rsidRPr="00A973A2">
        <w:rPr>
          <w:rFonts w:hint="eastAsia"/>
        </w:rPr>
        <w:t>即屬之。</w:t>
      </w:r>
      <w:r w:rsidR="00486E47" w:rsidRPr="00A973A2">
        <w:rPr>
          <w:rFonts w:hint="eastAsia"/>
        </w:rPr>
        <w:t>」</w:t>
      </w:r>
      <w:r w:rsidR="00832B54" w:rsidRPr="00A973A2">
        <w:rPr>
          <w:rStyle w:val="aff"/>
          <w:rFonts w:hAnsi="標楷體"/>
          <w:szCs w:val="32"/>
        </w:rPr>
        <w:footnoteReference w:id="16"/>
      </w:r>
      <w:r w:rsidR="00D76459" w:rsidRPr="00A973A2">
        <w:rPr>
          <w:rFonts w:hint="eastAsia"/>
        </w:rPr>
        <w:t>、「修憲後，儘管監察院喪失了『國會』的屬性，卻未質變而成為司法機關。相對於各級法院(不包括大法官)，監察院具有『憲法機關』的地位，監察院除了透過彈劾權的行使扮演『公訴人』(向公懲會『起訴』公務員)的角色外，其對人的糾舉權及對事的糾正權，乃源自於憲法，</w:t>
      </w:r>
      <w:r w:rsidR="00D76459" w:rsidRPr="00A973A2">
        <w:rPr>
          <w:rFonts w:hint="eastAsia"/>
          <w:b/>
          <w:u w:val="single"/>
        </w:rPr>
        <w:t>相對於其他四院，完整而獨立的憲法權限，並無所謂的『依法監察』原則。由此行政裁量或行政判斷的監察審查，至少可作二項的衍生性思維：一、行政裁量或行政判斷經司法審查者，仍可再作監察審查。換言之，監察院不受法院裁判的拘束。二、監察院不受立法者指示(明示或默示)的拘束，對於法律是否、如何及能否賦予行政裁量及行政判斷，監察院享有比諸法院較廣的審查權……</w:t>
      </w:r>
      <w:r w:rsidR="00D76459" w:rsidRPr="00A973A2">
        <w:rPr>
          <w:rFonts w:hint="eastAsia"/>
        </w:rPr>
        <w:t>，監察院的糾舉權與糾正權對於行政裁量或行政判斷(不管是具體或是抽象)僅具有</w:t>
      </w:r>
      <w:r w:rsidR="00D03230" w:rsidRPr="00A973A2">
        <w:rPr>
          <w:rFonts w:hint="eastAsia"/>
        </w:rPr>
        <w:t>『</w:t>
      </w:r>
      <w:r w:rsidR="00D76459" w:rsidRPr="00A973A2">
        <w:rPr>
          <w:rFonts w:hint="eastAsia"/>
        </w:rPr>
        <w:t>促其改善』的作用，而非如司法裁判具有法的拘束效力。不過，也正因為監察決定不必面對作出(有法拘束力)決定的緊迫性，監察院對於行政裁量或行政判斷的法之控制，反而具有開放性與延展性，不致為了作出決斷而過於快速的阻斷各種論辯。在此意義下，監察院的運作，甚至可以蔚為一種公共論壇，成為思辯民主的場域。</w:t>
      </w:r>
      <w:r w:rsidR="00D76459" w:rsidRPr="00A973A2">
        <w:rPr>
          <w:rFonts w:hint="eastAsia"/>
          <w:u w:val="single"/>
        </w:rPr>
        <w:t>在一黨獨大、權力混同的今天，監察院若能扮演制衡的角色，發揮牽掣權力的功能，則台灣民主憲政的賡續成長，或許還有一絲絲的希望，而監察院的存在也才能取得一點點的正當性。</w:t>
      </w:r>
      <w:r w:rsidR="00D76459" w:rsidRPr="00A973A2">
        <w:rPr>
          <w:rFonts w:hint="eastAsia"/>
        </w:rPr>
        <w:t>」</w:t>
      </w:r>
      <w:r w:rsidR="00D76459" w:rsidRPr="00A973A2">
        <w:rPr>
          <w:vertAlign w:val="superscript"/>
        </w:rPr>
        <w:footnoteReference w:id="17"/>
      </w:r>
      <w:r w:rsidR="00832B54" w:rsidRPr="00A973A2">
        <w:rPr>
          <w:rFonts w:hint="eastAsia"/>
        </w:rPr>
        <w:t>等語。</w:t>
      </w:r>
      <w:r w:rsidR="008D58DF" w:rsidRPr="00A973A2">
        <w:rPr>
          <w:rFonts w:hint="eastAsia"/>
        </w:rPr>
        <w:t>是則，</w:t>
      </w:r>
      <w:r w:rsidR="004C4C9B" w:rsidRPr="00A973A2">
        <w:rPr>
          <w:rFonts w:hint="eastAsia"/>
        </w:rPr>
        <w:t>學者</w:t>
      </w:r>
      <w:r w:rsidR="008D58DF" w:rsidRPr="00A973A2">
        <w:rPr>
          <w:rFonts w:hint="eastAsia"/>
        </w:rPr>
        <w:t>李建良認為監察權就合法性監督之範圍遠大於司法審查之合法性監督，</w:t>
      </w:r>
      <w:r w:rsidR="00E60F56" w:rsidRPr="00A973A2">
        <w:rPr>
          <w:rFonts w:hint="eastAsia"/>
        </w:rPr>
        <w:t>自得以適用相關系爭法律；</w:t>
      </w:r>
      <w:r w:rsidR="008D58DF" w:rsidRPr="00A973A2">
        <w:rPr>
          <w:rFonts w:hint="eastAsia"/>
          <w:b/>
          <w:u w:val="single"/>
        </w:rPr>
        <w:t>而上開李建良所引用</w:t>
      </w:r>
      <w:r w:rsidR="00774C76" w:rsidRPr="00A973A2">
        <w:rPr>
          <w:b/>
          <w:u w:val="single"/>
        </w:rPr>
        <w:t>89</w:t>
      </w:r>
      <w:r w:rsidR="00774C76" w:rsidRPr="00A973A2">
        <w:rPr>
          <w:rFonts w:hint="eastAsia"/>
          <w:b/>
          <w:u w:val="single"/>
        </w:rPr>
        <w:t>年</w:t>
      </w:r>
      <w:r w:rsidR="00774C76" w:rsidRPr="00A973A2">
        <w:rPr>
          <w:b/>
          <w:u w:val="single"/>
        </w:rPr>
        <w:t>9</w:t>
      </w:r>
      <w:r w:rsidR="00774C76" w:rsidRPr="00A973A2">
        <w:rPr>
          <w:rFonts w:hint="eastAsia"/>
          <w:b/>
          <w:u w:val="single"/>
        </w:rPr>
        <w:t>月</w:t>
      </w:r>
      <w:r w:rsidR="00774C76" w:rsidRPr="00A973A2">
        <w:rPr>
          <w:b/>
          <w:u w:val="single"/>
        </w:rPr>
        <w:t>29</w:t>
      </w:r>
      <w:r w:rsidR="00774C76" w:rsidRPr="00A973A2">
        <w:rPr>
          <w:rFonts w:hint="eastAsia"/>
          <w:b/>
          <w:u w:val="single"/>
        </w:rPr>
        <w:t>日所公布之司法院</w:t>
      </w:r>
      <w:r w:rsidR="008D58DF" w:rsidRPr="00A973A2">
        <w:rPr>
          <w:rFonts w:hint="eastAsia"/>
          <w:b/>
          <w:u w:val="single"/>
        </w:rPr>
        <w:t>釋字513號解釋，固為統一解釋，然監察院亦僅行使調查權</w:t>
      </w:r>
      <w:r w:rsidR="004C4C9B" w:rsidRPr="00A973A2">
        <w:rPr>
          <w:rFonts w:hint="eastAsia"/>
          <w:b/>
          <w:u w:val="single"/>
        </w:rPr>
        <w:t>階段</w:t>
      </w:r>
      <w:r w:rsidR="008D58DF" w:rsidRPr="00A973A2">
        <w:rPr>
          <w:rFonts w:hint="eastAsia"/>
          <w:b/>
          <w:u w:val="single"/>
        </w:rPr>
        <w:t>，</w:t>
      </w:r>
      <w:r w:rsidR="00774C76" w:rsidRPr="00A973A2">
        <w:rPr>
          <w:rFonts w:hint="eastAsia"/>
          <w:b/>
          <w:u w:val="single"/>
        </w:rPr>
        <w:t>僅</w:t>
      </w:r>
      <w:r w:rsidR="008D58DF" w:rsidRPr="00A973A2">
        <w:rPr>
          <w:rFonts w:hint="eastAsia"/>
          <w:b/>
          <w:u w:val="single"/>
        </w:rPr>
        <w:t>提出調查報告自始自終</w:t>
      </w:r>
      <w:r w:rsidR="00E60F56" w:rsidRPr="00A973A2">
        <w:rPr>
          <w:rFonts w:hint="eastAsia"/>
          <w:b/>
          <w:u w:val="single"/>
        </w:rPr>
        <w:t>亦</w:t>
      </w:r>
      <w:r w:rsidR="008D58DF" w:rsidRPr="00A973A2">
        <w:rPr>
          <w:rFonts w:hint="eastAsia"/>
          <w:b/>
          <w:u w:val="single"/>
        </w:rPr>
        <w:t>未進入糾正或彈劾階段</w:t>
      </w:r>
      <w:r w:rsidR="00E60F56" w:rsidRPr="00A973A2">
        <w:rPr>
          <w:rStyle w:val="aff"/>
          <w:rFonts w:hAnsi="標楷體"/>
          <w:b/>
          <w:szCs w:val="32"/>
          <w:u w:val="single"/>
        </w:rPr>
        <w:footnoteReference w:id="18"/>
      </w:r>
      <w:r w:rsidR="00E60F56" w:rsidRPr="00A973A2">
        <w:rPr>
          <w:rFonts w:hint="eastAsia"/>
          <w:b/>
          <w:u w:val="single"/>
        </w:rPr>
        <w:t>，當時司法院大法官亦從未質疑行使調查權非屬行使職權</w:t>
      </w:r>
      <w:r w:rsidR="00F3379A" w:rsidRPr="00A973A2">
        <w:rPr>
          <w:rFonts w:hint="eastAsia"/>
          <w:b/>
          <w:u w:val="single"/>
        </w:rPr>
        <w:t>，亦無任何</w:t>
      </w:r>
      <w:r w:rsidR="00774C76" w:rsidRPr="00A973A2">
        <w:rPr>
          <w:rFonts w:hint="eastAsia"/>
          <w:b/>
          <w:u w:val="single"/>
        </w:rPr>
        <w:t>司法院大法官提出</w:t>
      </w:r>
      <w:r w:rsidR="00F3379A" w:rsidRPr="00A973A2">
        <w:rPr>
          <w:rFonts w:hint="eastAsia"/>
          <w:b/>
          <w:u w:val="single"/>
        </w:rPr>
        <w:t>不同意見書或協同意見書稱</w:t>
      </w:r>
      <w:r w:rsidR="00774C76" w:rsidRPr="00A973A2">
        <w:rPr>
          <w:rFonts w:hint="eastAsia"/>
          <w:b/>
          <w:u w:val="single"/>
        </w:rPr>
        <w:t>調查權不該當</w:t>
      </w:r>
      <w:r w:rsidR="00486E47" w:rsidRPr="00A973A2">
        <w:rPr>
          <w:rFonts w:hint="eastAsia"/>
          <w:b/>
          <w:u w:val="single"/>
        </w:rPr>
        <w:t>司法院大法官審理案件法</w:t>
      </w:r>
      <w:r w:rsidR="00774C76" w:rsidRPr="00A973A2">
        <w:rPr>
          <w:rFonts w:hint="eastAsia"/>
          <w:b/>
          <w:u w:val="single"/>
        </w:rPr>
        <w:t>第7條第1項第1款「就其職權上適用法律或命令所持見解」之規定，而有不受理之疑義</w:t>
      </w:r>
      <w:r w:rsidR="00E60F56" w:rsidRPr="00A973A2">
        <w:rPr>
          <w:rFonts w:hint="eastAsia"/>
          <w:b/>
          <w:u w:val="single"/>
        </w:rPr>
        <w:t>，當然學者李建良亦未質疑</w:t>
      </w:r>
      <w:r w:rsidR="00FC6DE3" w:rsidRPr="00A973A2">
        <w:rPr>
          <w:rFonts w:hint="eastAsia"/>
          <w:b/>
          <w:u w:val="single"/>
        </w:rPr>
        <w:t>，其</w:t>
      </w:r>
      <w:r w:rsidR="004C4C9B" w:rsidRPr="00A973A2">
        <w:rPr>
          <w:rFonts w:hint="eastAsia"/>
          <w:b/>
          <w:u w:val="single"/>
        </w:rPr>
        <w:t>所引用</w:t>
      </w:r>
      <w:r w:rsidR="00774C76" w:rsidRPr="00A973A2">
        <w:rPr>
          <w:rFonts w:hint="eastAsia"/>
          <w:b/>
          <w:u w:val="single"/>
        </w:rPr>
        <w:t>之</w:t>
      </w:r>
      <w:r w:rsidR="007F5BAA" w:rsidRPr="00A973A2">
        <w:rPr>
          <w:rFonts w:hint="eastAsia"/>
          <w:b/>
          <w:u w:val="single"/>
        </w:rPr>
        <w:t>司法院</w:t>
      </w:r>
      <w:r w:rsidR="004C4C9B" w:rsidRPr="00A973A2">
        <w:rPr>
          <w:rFonts w:hint="eastAsia"/>
          <w:b/>
          <w:u w:val="single"/>
        </w:rPr>
        <w:t>釋字513號解釋有</w:t>
      </w:r>
      <w:r w:rsidR="007F5BAA" w:rsidRPr="00A973A2">
        <w:rPr>
          <w:rFonts w:hint="eastAsia"/>
          <w:b/>
          <w:u w:val="single"/>
        </w:rPr>
        <w:t>任何</w:t>
      </w:r>
      <w:r w:rsidR="004C4C9B" w:rsidRPr="00A973A2">
        <w:rPr>
          <w:rFonts w:hint="eastAsia"/>
          <w:b/>
          <w:u w:val="single"/>
        </w:rPr>
        <w:t>「行使職權」與「適用法律」等</w:t>
      </w:r>
      <w:r w:rsidR="007F5BAA" w:rsidRPr="00A973A2">
        <w:rPr>
          <w:rFonts w:hint="eastAsia"/>
          <w:b/>
          <w:u w:val="single"/>
        </w:rPr>
        <w:t>不受理</w:t>
      </w:r>
      <w:r w:rsidR="004C4C9B" w:rsidRPr="00A973A2">
        <w:rPr>
          <w:rFonts w:hint="eastAsia"/>
          <w:b/>
          <w:u w:val="single"/>
        </w:rPr>
        <w:t>問題</w:t>
      </w:r>
      <w:r w:rsidR="00E60F56" w:rsidRPr="00A973A2">
        <w:rPr>
          <w:rFonts w:hint="eastAsia"/>
          <w:u w:val="single"/>
        </w:rPr>
        <w:t>，</w:t>
      </w:r>
      <w:r w:rsidR="00CE6419" w:rsidRPr="00A973A2">
        <w:rPr>
          <w:rFonts w:hint="eastAsia"/>
          <w:u w:val="single"/>
        </w:rPr>
        <w:t>實無從理解</w:t>
      </w:r>
      <w:r w:rsidR="00E60F56" w:rsidRPr="00A973A2">
        <w:rPr>
          <w:rFonts w:hint="eastAsia"/>
          <w:u w:val="single"/>
        </w:rPr>
        <w:t>何以遇到黨產條例</w:t>
      </w:r>
      <w:r w:rsidR="004C4C9B" w:rsidRPr="00A973A2">
        <w:rPr>
          <w:rFonts w:hint="eastAsia"/>
          <w:u w:val="single"/>
        </w:rPr>
        <w:t>時</w:t>
      </w:r>
      <w:r w:rsidR="00E60F56" w:rsidRPr="00A973A2">
        <w:rPr>
          <w:rFonts w:hint="eastAsia"/>
          <w:u w:val="single"/>
        </w:rPr>
        <w:t>，</w:t>
      </w:r>
      <w:r w:rsidR="004C4C9B" w:rsidRPr="00A973A2">
        <w:rPr>
          <w:rFonts w:hint="eastAsia"/>
          <w:u w:val="single"/>
        </w:rPr>
        <w:t>卻於</w:t>
      </w:r>
      <w:r w:rsidR="00E60F56" w:rsidRPr="00A973A2">
        <w:rPr>
          <w:rFonts w:hint="eastAsia"/>
          <w:u w:val="single"/>
        </w:rPr>
        <w:t>司法院大法官所提</w:t>
      </w:r>
      <w:r w:rsidR="0031669A" w:rsidRPr="00A973A2">
        <w:rPr>
          <w:rFonts w:hint="eastAsia"/>
          <w:u w:val="single"/>
        </w:rPr>
        <w:t>公開</w:t>
      </w:r>
      <w:r w:rsidR="00E60F56" w:rsidRPr="00A973A2">
        <w:rPr>
          <w:rFonts w:hint="eastAsia"/>
          <w:u w:val="single"/>
        </w:rPr>
        <w:t>意見</w:t>
      </w:r>
      <w:r w:rsidR="004C4C9B" w:rsidRPr="00A973A2">
        <w:rPr>
          <w:rStyle w:val="aff"/>
          <w:rFonts w:hAnsi="標楷體"/>
          <w:szCs w:val="32"/>
          <w:u w:val="single"/>
        </w:rPr>
        <w:footnoteReference w:id="19"/>
      </w:r>
      <w:r w:rsidR="00E60F56" w:rsidRPr="00A973A2">
        <w:rPr>
          <w:rFonts w:hint="eastAsia"/>
          <w:u w:val="single"/>
        </w:rPr>
        <w:t>稱「黨產條例</w:t>
      </w:r>
      <w:r w:rsidR="007F5BAA" w:rsidRPr="00A973A2">
        <w:rPr>
          <w:rFonts w:hint="eastAsia"/>
          <w:u w:val="single"/>
        </w:rPr>
        <w:t>非</w:t>
      </w:r>
      <w:r w:rsidR="00E60F56" w:rsidRPr="00A973A2">
        <w:rPr>
          <w:rFonts w:hint="eastAsia"/>
          <w:u w:val="single"/>
        </w:rPr>
        <w:t>適用範圍</w:t>
      </w:r>
      <w:r w:rsidR="00E66E16" w:rsidRPr="00A973A2">
        <w:rPr>
          <w:rFonts w:hint="eastAsia"/>
          <w:u w:val="single"/>
        </w:rPr>
        <w:t>」</w:t>
      </w:r>
      <w:r w:rsidR="00E60F56" w:rsidRPr="00A973A2">
        <w:rPr>
          <w:rFonts w:hint="eastAsia"/>
          <w:u w:val="single"/>
        </w:rPr>
        <w:t>與</w:t>
      </w:r>
      <w:r w:rsidR="00E66E16" w:rsidRPr="00A973A2">
        <w:rPr>
          <w:rFonts w:hint="eastAsia"/>
          <w:u w:val="single"/>
        </w:rPr>
        <w:t>「</w:t>
      </w:r>
      <w:r w:rsidR="00E60F56" w:rsidRPr="00A973A2">
        <w:rPr>
          <w:rFonts w:hint="eastAsia"/>
          <w:u w:val="single"/>
        </w:rPr>
        <w:t>行使調查權非行使職權</w:t>
      </w:r>
      <w:r w:rsidR="0031669A" w:rsidRPr="00A973A2">
        <w:rPr>
          <w:rFonts w:hint="eastAsia"/>
          <w:u w:val="single"/>
        </w:rPr>
        <w:t>，而應不受理」</w:t>
      </w:r>
      <w:r w:rsidR="00E66E16" w:rsidRPr="00A973A2">
        <w:rPr>
          <w:rFonts w:hint="eastAsia"/>
          <w:u w:val="single"/>
        </w:rPr>
        <w:t>，</w:t>
      </w:r>
      <w:r w:rsidR="00CE6419" w:rsidRPr="00A973A2">
        <w:rPr>
          <w:rFonts w:hint="eastAsia"/>
          <w:u w:val="single"/>
        </w:rPr>
        <w:t>李教授之</w:t>
      </w:r>
      <w:r w:rsidR="00E60F56" w:rsidRPr="00A973A2">
        <w:rPr>
          <w:rFonts w:hint="eastAsia"/>
          <w:u w:val="single"/>
        </w:rPr>
        <w:t>學術論點</w:t>
      </w:r>
      <w:r w:rsidR="00CE6419" w:rsidRPr="00A973A2">
        <w:rPr>
          <w:rFonts w:hint="eastAsia"/>
          <w:u w:val="single"/>
        </w:rPr>
        <w:t>似尚非</w:t>
      </w:r>
      <w:r w:rsidR="004C4C9B" w:rsidRPr="00A973A2">
        <w:rPr>
          <w:rFonts w:hint="eastAsia"/>
          <w:u w:val="single"/>
        </w:rPr>
        <w:t>一致</w:t>
      </w:r>
      <w:r w:rsidR="00832B54" w:rsidRPr="00A973A2">
        <w:rPr>
          <w:rFonts w:hint="eastAsia"/>
          <w:u w:val="single"/>
        </w:rPr>
        <w:t>，又其</w:t>
      </w:r>
      <w:r w:rsidR="00FC6DE3" w:rsidRPr="00A973A2">
        <w:rPr>
          <w:rFonts w:hint="eastAsia"/>
          <w:u w:val="single"/>
        </w:rPr>
        <w:t>於司法院大法官所提</w:t>
      </w:r>
      <w:r w:rsidR="0031669A" w:rsidRPr="00A973A2">
        <w:rPr>
          <w:rFonts w:hint="eastAsia"/>
          <w:u w:val="single"/>
        </w:rPr>
        <w:t>公開</w:t>
      </w:r>
      <w:r w:rsidR="00832B54" w:rsidRPr="00A973A2">
        <w:rPr>
          <w:rFonts w:hint="eastAsia"/>
          <w:u w:val="single"/>
        </w:rPr>
        <w:t>論點之信用性如何？</w:t>
      </w:r>
      <w:r w:rsidR="00E60F56" w:rsidRPr="00A973A2">
        <w:rPr>
          <w:rFonts w:hint="eastAsia"/>
          <w:u w:val="single"/>
        </w:rPr>
        <w:t>與</w:t>
      </w:r>
      <w:r w:rsidR="00832B54" w:rsidRPr="00A973A2">
        <w:rPr>
          <w:rFonts w:hint="eastAsia"/>
          <w:u w:val="single"/>
        </w:rPr>
        <w:t>司法院大法官作為</w:t>
      </w:r>
      <w:r w:rsidR="00E60F56" w:rsidRPr="00A973A2">
        <w:rPr>
          <w:rFonts w:hint="eastAsia"/>
          <w:u w:val="single"/>
        </w:rPr>
        <w:t>憲法機關</w:t>
      </w:r>
      <w:r w:rsidR="00832B54" w:rsidRPr="00A973A2">
        <w:rPr>
          <w:rFonts w:hint="eastAsia"/>
          <w:u w:val="single"/>
        </w:rPr>
        <w:t>其所生憲政慣例是否有</w:t>
      </w:r>
      <w:r w:rsidR="00E60F56" w:rsidRPr="00A973A2">
        <w:rPr>
          <w:rFonts w:hint="eastAsia"/>
          <w:u w:val="single"/>
        </w:rPr>
        <w:t>程序原則之禁反言原則之適用？敬請司法院大法官</w:t>
      </w:r>
      <w:r w:rsidR="00FC6DE3" w:rsidRPr="00A973A2">
        <w:rPr>
          <w:rFonts w:hint="eastAsia"/>
          <w:u w:val="single"/>
        </w:rPr>
        <w:t>均</w:t>
      </w:r>
      <w:r w:rsidR="00832B54" w:rsidRPr="00A973A2">
        <w:rPr>
          <w:rFonts w:hint="eastAsia"/>
          <w:u w:val="single"/>
        </w:rPr>
        <w:t>一併</w:t>
      </w:r>
      <w:r w:rsidR="00E60F56" w:rsidRPr="00A973A2">
        <w:rPr>
          <w:rFonts w:hint="eastAsia"/>
          <w:u w:val="single"/>
        </w:rPr>
        <w:t>詳實說明</w:t>
      </w:r>
      <w:r w:rsidR="004C4C9B" w:rsidRPr="00A973A2">
        <w:rPr>
          <w:rFonts w:hint="eastAsia"/>
          <w:u w:val="single"/>
        </w:rPr>
        <w:t>，以釐清疑義。</w:t>
      </w:r>
    </w:p>
    <w:p w:rsidR="002A5C16" w:rsidRPr="00A973A2" w:rsidRDefault="002A5C16" w:rsidP="00CB39FE">
      <w:pPr>
        <w:pStyle w:val="2"/>
        <w:rPr>
          <w:rFonts w:hAnsi="標楷體"/>
          <w:b/>
          <w:szCs w:val="32"/>
        </w:rPr>
      </w:pPr>
      <w:r w:rsidRPr="00A973A2">
        <w:rPr>
          <w:rFonts w:hAnsi="標楷體" w:hint="eastAsia"/>
          <w:b/>
          <w:szCs w:val="32"/>
        </w:rPr>
        <w:t>監察解釋實際運作方式</w:t>
      </w:r>
      <w:r w:rsidR="003F244D" w:rsidRPr="00A973A2">
        <w:rPr>
          <w:rFonts w:hAnsi="標楷體" w:hint="eastAsia"/>
          <w:b/>
          <w:szCs w:val="32"/>
        </w:rPr>
        <w:t>，主要以行使調查權聲請解釋憲法為主。</w:t>
      </w:r>
    </w:p>
    <w:p w:rsidR="0031669A" w:rsidRPr="00A973A2" w:rsidRDefault="0031669A" w:rsidP="00E66E16">
      <w:pPr>
        <w:pStyle w:val="3"/>
      </w:pPr>
      <w:r w:rsidRPr="00A973A2">
        <w:rPr>
          <w:rFonts w:hint="eastAsia"/>
        </w:rPr>
        <w:t>監察院行使調查權於調查報告或糾正案文行使法令審查權時，</w:t>
      </w:r>
      <w:r w:rsidR="00850188" w:rsidRPr="00A973A2">
        <w:rPr>
          <w:rFonts w:hint="eastAsia"/>
        </w:rPr>
        <w:t>發見命令違憲並違法，</w:t>
      </w:r>
      <w:r w:rsidRPr="00A973A2">
        <w:rPr>
          <w:rFonts w:hint="eastAsia"/>
        </w:rPr>
        <w:t>形成監察院解釋（意見</w:t>
      </w:r>
      <w:r w:rsidR="00850188" w:rsidRPr="00A973A2">
        <w:rPr>
          <w:rFonts w:hint="eastAsia"/>
        </w:rPr>
        <w:t>），無庸聲請司法院大法官解釋解決爭端。</w:t>
      </w:r>
    </w:p>
    <w:p w:rsidR="00302810" w:rsidRPr="00A973A2" w:rsidRDefault="0031669A" w:rsidP="00D41751">
      <w:pPr>
        <w:pStyle w:val="32"/>
        <w:ind w:left="1361" w:firstLine="680"/>
        <w:rPr>
          <w:b/>
        </w:rPr>
      </w:pPr>
      <w:r w:rsidRPr="00A973A2">
        <w:rPr>
          <w:rFonts w:hint="eastAsia"/>
        </w:rPr>
        <w:t>例如，</w:t>
      </w:r>
      <w:r w:rsidR="00C245CF" w:rsidRPr="00A973A2">
        <w:rPr>
          <w:rFonts w:hint="eastAsia"/>
        </w:rPr>
        <w:t>本院</w:t>
      </w:r>
      <w:r w:rsidR="00A4605C" w:rsidRPr="00A973A2">
        <w:rPr>
          <w:rFonts w:hint="eastAsia"/>
        </w:rPr>
        <w:t>民國（下同）</w:t>
      </w:r>
      <w:r w:rsidR="00C245CF" w:rsidRPr="00A973A2">
        <w:rPr>
          <w:rFonts w:hint="eastAsia"/>
        </w:rPr>
        <w:t>98年1月12日（98）院台調壹字第0980800023號、98年2月24日（98）院台調壹字第0980800125號等函自動調查，據施先生於中國時報撰文，指外交部對於拒發外籍配偶</w:t>
      </w:r>
      <w:r w:rsidR="00D03230" w:rsidRPr="00A973A2">
        <w:rPr>
          <w:rFonts w:hint="eastAsia"/>
        </w:rPr>
        <w:t>申請來臺簽證不告知理由，涉有侵害人民家庭團聚等基本人權之虞乙案，</w:t>
      </w:r>
      <w:r w:rsidR="00C245CF" w:rsidRPr="00A973A2">
        <w:rPr>
          <w:rFonts w:hint="eastAsia"/>
        </w:rPr>
        <w:t>基於調查權之行使後，所提調查意見為</w:t>
      </w:r>
      <w:r w:rsidR="00D41751" w:rsidRPr="00A973A2">
        <w:rPr>
          <w:rFonts w:hint="eastAsia"/>
        </w:rPr>
        <w:t>：一、</w:t>
      </w:r>
      <w:r w:rsidR="00C245CF" w:rsidRPr="00A973A2">
        <w:rPr>
          <w:rFonts w:hint="eastAsia"/>
        </w:rPr>
        <w:t>外交部對外籍配偶簽證申請准駁，概認係屬政治問題，不受司法管轄，侵害當事人訴訟基本權，實有不當。</w:t>
      </w:r>
      <w:r w:rsidR="00D41751" w:rsidRPr="00A973A2">
        <w:rPr>
          <w:rFonts w:hint="eastAsia"/>
        </w:rPr>
        <w:t>二、</w:t>
      </w:r>
      <w:r w:rsidR="00C245CF" w:rsidRPr="00A973A2">
        <w:rPr>
          <w:rFonts w:hint="eastAsia"/>
        </w:rPr>
        <w:t>外交部濫用外國護照簽證條例所賦予之裁量權，對外籍配偶簽證申請之拒絕處分，不採書面方式及未附理由暨教示條款之程序作為，侵害當事人訴訟基本權，並有違武器平等原則，與正當法律程序相悖離，確有違失。</w:t>
      </w:r>
      <w:r w:rsidR="00D41751" w:rsidRPr="00A973A2">
        <w:rPr>
          <w:rFonts w:hint="eastAsia"/>
        </w:rPr>
        <w:t>三、</w:t>
      </w:r>
      <w:r w:rsidR="00C245CF" w:rsidRPr="00A973A2">
        <w:rPr>
          <w:rFonts w:hint="eastAsia"/>
        </w:rPr>
        <w:t>外交部辦理外籍配偶簽證申請（居（停）留簽證）准駁，未基於事物本質與一般外國人為不同對待，違反憲法第</w:t>
      </w:r>
      <w:r w:rsidR="00E66E16" w:rsidRPr="00A973A2">
        <w:rPr>
          <w:rFonts w:hint="eastAsia"/>
        </w:rPr>
        <w:t>8</w:t>
      </w:r>
      <w:r w:rsidR="00C245CF" w:rsidRPr="00A973A2">
        <w:rPr>
          <w:rFonts w:hint="eastAsia"/>
        </w:rPr>
        <w:t>條平等原則並有侵害本國家庭共同生活權之嫌，顯有違失</w:t>
      </w:r>
      <w:r w:rsidR="00E66E16" w:rsidRPr="00A973A2">
        <w:rPr>
          <w:rFonts w:hint="eastAsia"/>
        </w:rPr>
        <w:t>。</w:t>
      </w:r>
      <w:r w:rsidR="00D41751" w:rsidRPr="00A973A2">
        <w:rPr>
          <w:rFonts w:hint="eastAsia"/>
        </w:rPr>
        <w:t>四、</w:t>
      </w:r>
      <w:r w:rsidR="00C245CF" w:rsidRPr="00A973A2">
        <w:rPr>
          <w:rFonts w:hint="eastAsia"/>
        </w:rPr>
        <w:t>外交部所屬駐外館處辦理外籍配偶簽證申請之面談人員，迄無標準之面談辦法或裁量基準之行政規則可資依循，且教育訓練尚屬闕如，確有疏失。</w:t>
      </w:r>
      <w:r w:rsidR="00D41751" w:rsidRPr="00A973A2">
        <w:rPr>
          <w:rFonts w:hint="eastAsia"/>
        </w:rPr>
        <w:t>五、</w:t>
      </w:r>
      <w:r w:rsidR="00C245CF" w:rsidRPr="00A973A2">
        <w:rPr>
          <w:rFonts w:hint="eastAsia"/>
        </w:rPr>
        <w:t>內政部允宜協助外交部，於領事人員面談外籍配偶後，針對外籍配偶簽證申請涉有真實婚姻與否之疑義時，由內政部利用所屬機制對國人配偶詳加調查，並將面談或調查紀錄暨涉及婚姻真實判斷之基本資料，提供駐外館處作為簽證准駁參考，以兼顧國家安全之過濾功能，並保障當事人家庭團聚及共同生活權益。</w:t>
      </w:r>
      <w:r w:rsidRPr="00A973A2">
        <w:rPr>
          <w:rStyle w:val="aff"/>
          <w:rFonts w:hAnsi="標楷體"/>
          <w:szCs w:val="32"/>
        </w:rPr>
        <w:footnoteReference w:id="20"/>
      </w:r>
      <w:r w:rsidR="00C245CF" w:rsidRPr="00A973A2">
        <w:rPr>
          <w:rFonts w:hint="eastAsia"/>
        </w:rPr>
        <w:t>處理辦法為：一、調查意見一至四，依監察法第24條提案糾正外交部。二、調查意見五，函請內政部轉飭所屬檢討改善見復。三、抄本案調查報告及糾正案文，送請本院人權保障委員會卓參。四、檢附派查函及相關附件，送請外交及僑政委員會內政及少數民族委員會聯席會議處理。</w:t>
      </w:r>
      <w:r w:rsidRPr="00A973A2">
        <w:rPr>
          <w:rFonts w:hint="eastAsia"/>
          <w:b/>
        </w:rPr>
        <w:t>上開意見引用系爭法律、人權公約及憲法規定與</w:t>
      </w:r>
      <w:r w:rsidR="00850188" w:rsidRPr="00A973A2">
        <w:rPr>
          <w:rFonts w:hint="eastAsia"/>
          <w:b/>
        </w:rPr>
        <w:t>憲法</w:t>
      </w:r>
      <w:r w:rsidRPr="00A973A2">
        <w:rPr>
          <w:rFonts w:hint="eastAsia"/>
          <w:b/>
        </w:rPr>
        <w:t>解釋</w:t>
      </w:r>
      <w:r w:rsidR="00850188" w:rsidRPr="00A973A2">
        <w:rPr>
          <w:rFonts w:hint="eastAsia"/>
          <w:b/>
        </w:rPr>
        <w:t>做成監察解釋（意見），其後外交部按監察院所提意見辦理，故無庸聲請司法院大法官解釋。</w:t>
      </w:r>
    </w:p>
    <w:p w:rsidR="00850188" w:rsidRPr="00A973A2" w:rsidRDefault="00850188" w:rsidP="00D41751">
      <w:pPr>
        <w:pStyle w:val="3"/>
        <w:rPr>
          <w:b/>
        </w:rPr>
      </w:pPr>
      <w:r w:rsidRPr="00A973A2">
        <w:rPr>
          <w:rFonts w:hint="eastAsia"/>
          <w:b/>
        </w:rPr>
        <w:t>監察院行使調查權於調查報告或糾正案文行使法令審查權時，發見命令違憲並違法形成監察院解釋（意見），</w:t>
      </w:r>
      <w:r w:rsidR="00D57308" w:rsidRPr="00A973A2">
        <w:rPr>
          <w:rFonts w:hint="eastAsia"/>
          <w:b/>
        </w:rPr>
        <w:t>或因</w:t>
      </w:r>
      <w:r w:rsidR="00152A53" w:rsidRPr="00A973A2">
        <w:rPr>
          <w:rFonts w:hint="eastAsia"/>
          <w:b/>
        </w:rPr>
        <w:t>相對</w:t>
      </w:r>
      <w:r w:rsidR="004D4788" w:rsidRPr="00A973A2">
        <w:rPr>
          <w:rFonts w:hint="eastAsia"/>
          <w:b/>
        </w:rPr>
        <w:t>人</w:t>
      </w:r>
      <w:r w:rsidR="00152A53" w:rsidRPr="00A973A2">
        <w:rPr>
          <w:rFonts w:hint="eastAsia"/>
          <w:b/>
        </w:rPr>
        <w:t>憲法機關</w:t>
      </w:r>
      <w:r w:rsidRPr="00A973A2">
        <w:rPr>
          <w:rFonts w:hint="eastAsia"/>
          <w:b/>
        </w:rPr>
        <w:t>不同意監察解釋，</w:t>
      </w:r>
      <w:r w:rsidR="004D4788" w:rsidRPr="00A973A2">
        <w:rPr>
          <w:rFonts w:hint="eastAsia"/>
          <w:b/>
        </w:rPr>
        <w:t>僅得</w:t>
      </w:r>
      <w:r w:rsidRPr="00A973A2">
        <w:rPr>
          <w:rFonts w:hint="eastAsia"/>
          <w:b/>
        </w:rPr>
        <w:t>聲請司法院大法官解釋，解決爭端。</w:t>
      </w:r>
    </w:p>
    <w:p w:rsidR="00152A53" w:rsidRPr="00A973A2" w:rsidRDefault="00152A53" w:rsidP="00CB39FE">
      <w:pPr>
        <w:pStyle w:val="4"/>
        <w:rPr>
          <w:rFonts w:hAnsi="標楷體"/>
          <w:szCs w:val="32"/>
        </w:rPr>
      </w:pPr>
      <w:r w:rsidRPr="00A973A2">
        <w:rPr>
          <w:rFonts w:hAnsi="標楷體" w:hint="eastAsia"/>
          <w:szCs w:val="32"/>
        </w:rPr>
        <w:t>以調查報告</w:t>
      </w:r>
      <w:r w:rsidR="00D41751" w:rsidRPr="00A973A2">
        <w:rPr>
          <w:rFonts w:hAnsi="標楷體" w:hint="eastAsia"/>
          <w:szCs w:val="32"/>
        </w:rPr>
        <w:t>併</w:t>
      </w:r>
      <w:r w:rsidRPr="00A973A2">
        <w:rPr>
          <w:rFonts w:hAnsi="標楷體" w:hint="eastAsia"/>
          <w:szCs w:val="32"/>
        </w:rPr>
        <w:t>糾正案文作為關係文件聲請釋憲</w:t>
      </w:r>
    </w:p>
    <w:p w:rsidR="00152A53" w:rsidRPr="00A973A2" w:rsidRDefault="00152A53" w:rsidP="00D41751">
      <w:pPr>
        <w:pStyle w:val="42"/>
        <w:ind w:left="1701" w:firstLine="680"/>
      </w:pPr>
      <w:r w:rsidRPr="00A973A2">
        <w:rPr>
          <w:rFonts w:hint="eastAsia"/>
        </w:rPr>
        <w:t>例如監察院103年01月21日院台調壹字第1030800021號</w:t>
      </w:r>
      <w:r w:rsidR="00D133D7" w:rsidRPr="00A973A2">
        <w:rPr>
          <w:rFonts w:hint="eastAsia"/>
        </w:rPr>
        <w:t>調查</w:t>
      </w:r>
      <w:r w:rsidRPr="00A973A2">
        <w:rPr>
          <w:rFonts w:hint="eastAsia"/>
        </w:rPr>
        <w:t>「為內政部102年7月10日台內地字第1020246881號函釋，逕以</w:t>
      </w:r>
      <w:r w:rsidR="00D133D7" w:rsidRPr="00A973A2">
        <w:rPr>
          <w:rFonts w:hint="eastAsia"/>
        </w:rPr>
        <w:t>『</w:t>
      </w:r>
      <w:r w:rsidRPr="00A973A2">
        <w:rPr>
          <w:rFonts w:hint="eastAsia"/>
        </w:rPr>
        <w:t>本案聯合開發土地登記移轉私人乙事，應已無疑義</w:t>
      </w:r>
      <w:r w:rsidR="00D133D7" w:rsidRPr="00A973A2">
        <w:rPr>
          <w:rFonts w:hint="eastAsia"/>
        </w:rPr>
        <w:t>』</w:t>
      </w:r>
      <w:r w:rsidRPr="00A973A2">
        <w:rPr>
          <w:rFonts w:hint="eastAsia"/>
        </w:rPr>
        <w:t>之內容，使新北市政府辦理臺北市政府新店機廠捷運聯合開發之名將土地移轉登記予私人，究內政部、交通部之處理是否涉有違失等情乙案」</w:t>
      </w:r>
      <w:r w:rsidR="00D133D7" w:rsidRPr="00A973A2">
        <w:rPr>
          <w:rFonts w:hint="eastAsia"/>
        </w:rPr>
        <w:t>，經</w:t>
      </w:r>
      <w:r w:rsidRPr="00A973A2">
        <w:rPr>
          <w:rFonts w:hint="eastAsia"/>
        </w:rPr>
        <w:t>司法院大法官</w:t>
      </w:r>
      <w:r w:rsidR="00D133D7" w:rsidRPr="00A973A2">
        <w:rPr>
          <w:rFonts w:hint="eastAsia"/>
        </w:rPr>
        <w:t>作</w:t>
      </w:r>
      <w:r w:rsidRPr="00A973A2">
        <w:rPr>
          <w:rFonts w:hint="eastAsia"/>
        </w:rPr>
        <w:t>成釋字第743號解釋</w:t>
      </w:r>
      <w:r w:rsidR="00D133D7" w:rsidRPr="00A973A2">
        <w:rPr>
          <w:rFonts w:hint="eastAsia"/>
        </w:rPr>
        <w:t>。</w:t>
      </w:r>
    </w:p>
    <w:p w:rsidR="00152A53" w:rsidRPr="00A973A2" w:rsidRDefault="003F244D" w:rsidP="00CB39FE">
      <w:pPr>
        <w:pStyle w:val="4"/>
        <w:rPr>
          <w:rFonts w:hAnsi="標楷體"/>
          <w:szCs w:val="32"/>
        </w:rPr>
      </w:pPr>
      <w:r w:rsidRPr="00A973A2">
        <w:rPr>
          <w:rFonts w:hAnsi="標楷體" w:hint="eastAsia"/>
          <w:szCs w:val="32"/>
        </w:rPr>
        <w:t>僅以調查權</w:t>
      </w:r>
      <w:r w:rsidR="00152A53" w:rsidRPr="00A973A2">
        <w:rPr>
          <w:rFonts w:hAnsi="標楷體" w:hint="eastAsia"/>
          <w:szCs w:val="32"/>
        </w:rPr>
        <w:t>聲請釋憲，</w:t>
      </w:r>
      <w:r w:rsidR="005E7170" w:rsidRPr="00A973A2">
        <w:rPr>
          <w:rFonts w:hAnsi="標楷體" w:hint="eastAsia"/>
          <w:szCs w:val="32"/>
        </w:rPr>
        <w:t>舉例而言</w:t>
      </w:r>
      <w:r w:rsidR="00152A53" w:rsidRPr="00A973A2">
        <w:rPr>
          <w:rFonts w:hAnsi="標楷體" w:hint="eastAsia"/>
          <w:szCs w:val="32"/>
        </w:rPr>
        <w:t>如</w:t>
      </w:r>
      <w:r w:rsidR="00D133D7" w:rsidRPr="00A973A2">
        <w:rPr>
          <w:rFonts w:hAnsi="標楷體" w:hint="eastAsia"/>
          <w:szCs w:val="32"/>
        </w:rPr>
        <w:t>：</w:t>
      </w:r>
      <w:r w:rsidR="00D133D7" w:rsidRPr="00A973A2">
        <w:rPr>
          <w:rFonts w:hint="eastAsia"/>
        </w:rPr>
        <w:t>司法院</w:t>
      </w:r>
      <w:r w:rsidR="00152A53" w:rsidRPr="00A973A2">
        <w:rPr>
          <w:rFonts w:hAnsi="標楷體" w:hint="eastAsia"/>
          <w:szCs w:val="32"/>
        </w:rPr>
        <w:t>釋字</w:t>
      </w:r>
      <w:r w:rsidR="00D133D7" w:rsidRPr="00A973A2">
        <w:rPr>
          <w:rFonts w:hAnsi="標楷體" w:hint="eastAsia"/>
          <w:szCs w:val="32"/>
        </w:rPr>
        <w:t>第</w:t>
      </w:r>
      <w:r w:rsidR="00152A53" w:rsidRPr="00A973A2">
        <w:rPr>
          <w:rFonts w:hAnsi="標楷體" w:hint="eastAsia"/>
          <w:szCs w:val="32"/>
        </w:rPr>
        <w:t>513號</w:t>
      </w:r>
      <w:r w:rsidR="00D133D7" w:rsidRPr="00A973A2">
        <w:rPr>
          <w:rFonts w:hAnsi="標楷體" w:hint="eastAsia"/>
          <w:szCs w:val="32"/>
        </w:rPr>
        <w:t>解釋</w:t>
      </w:r>
      <w:r w:rsidR="00152A53" w:rsidRPr="00A973A2">
        <w:rPr>
          <w:rFonts w:hAnsi="標楷體" w:hint="eastAsia"/>
          <w:szCs w:val="32"/>
        </w:rPr>
        <w:t>、</w:t>
      </w:r>
      <w:r w:rsidR="005E7170" w:rsidRPr="00A973A2">
        <w:rPr>
          <w:rFonts w:hAnsi="標楷體" w:hint="eastAsia"/>
          <w:szCs w:val="32"/>
        </w:rPr>
        <w:t>釋字</w:t>
      </w:r>
      <w:r w:rsidR="00D133D7" w:rsidRPr="00A973A2">
        <w:rPr>
          <w:rFonts w:hAnsi="標楷體" w:hint="eastAsia"/>
          <w:szCs w:val="32"/>
        </w:rPr>
        <w:t>第</w:t>
      </w:r>
      <w:r w:rsidR="005E7170" w:rsidRPr="00A973A2">
        <w:rPr>
          <w:rFonts w:hAnsi="標楷體" w:hint="eastAsia"/>
          <w:szCs w:val="32"/>
        </w:rPr>
        <w:t>489</w:t>
      </w:r>
      <w:r w:rsidR="00D133D7" w:rsidRPr="00A973A2">
        <w:rPr>
          <w:rFonts w:hAnsi="標楷體" w:hint="eastAsia"/>
          <w:szCs w:val="32"/>
        </w:rPr>
        <w:t>號解釋</w:t>
      </w:r>
      <w:r w:rsidR="005E7170" w:rsidRPr="00A973A2">
        <w:rPr>
          <w:rFonts w:hAnsi="標楷體" w:hint="eastAsia"/>
          <w:szCs w:val="32"/>
        </w:rPr>
        <w:t>等。</w:t>
      </w:r>
    </w:p>
    <w:p w:rsidR="00850188" w:rsidRPr="00A973A2" w:rsidRDefault="005E7170" w:rsidP="00D133D7">
      <w:pPr>
        <w:pStyle w:val="3"/>
        <w:rPr>
          <w:b/>
        </w:rPr>
      </w:pPr>
      <w:r w:rsidRPr="00A973A2">
        <w:rPr>
          <w:rFonts w:hint="eastAsia"/>
          <w:b/>
        </w:rPr>
        <w:t>監察院行使調查權適用法律發見有違憲疑義或行使調查權對象為行政院以外機關（立法院除外）僅以行使調查權聲請司法解釋，如</w:t>
      </w:r>
      <w:r w:rsidR="00D133D7" w:rsidRPr="00A973A2">
        <w:rPr>
          <w:rFonts w:hint="eastAsia"/>
          <w:b/>
        </w:rPr>
        <w:t>司法院</w:t>
      </w:r>
      <w:r w:rsidRPr="00A973A2">
        <w:rPr>
          <w:rFonts w:hint="eastAsia"/>
          <w:b/>
        </w:rPr>
        <w:t>釋字</w:t>
      </w:r>
      <w:r w:rsidR="00D133D7" w:rsidRPr="00A973A2">
        <w:rPr>
          <w:rFonts w:hAnsi="標楷體" w:hint="eastAsia"/>
          <w:b/>
          <w:szCs w:val="32"/>
        </w:rPr>
        <w:t>第</w:t>
      </w:r>
      <w:r w:rsidR="00DD09FA" w:rsidRPr="00A973A2">
        <w:rPr>
          <w:rFonts w:hint="eastAsia"/>
          <w:b/>
        </w:rPr>
        <w:t>13、46、68、90、96、</w:t>
      </w:r>
      <w:r w:rsidR="003F244D" w:rsidRPr="00A973A2">
        <w:rPr>
          <w:rFonts w:hint="eastAsia"/>
          <w:b/>
        </w:rPr>
        <w:t>105、</w:t>
      </w:r>
      <w:r w:rsidR="00DD09FA" w:rsidRPr="00A973A2">
        <w:rPr>
          <w:rFonts w:hint="eastAsia"/>
          <w:b/>
        </w:rPr>
        <w:t>106、122、165、</w:t>
      </w:r>
      <w:r w:rsidR="003F244D" w:rsidRPr="00A973A2">
        <w:rPr>
          <w:rFonts w:hint="eastAsia"/>
          <w:b/>
        </w:rPr>
        <w:t>166、</w:t>
      </w:r>
      <w:r w:rsidR="00DD09FA" w:rsidRPr="00A973A2">
        <w:rPr>
          <w:rFonts w:hint="eastAsia"/>
          <w:b/>
        </w:rPr>
        <w:t>129、149、151、163、、164、175、178、181、188、226、227、238、331、</w:t>
      </w:r>
      <w:r w:rsidRPr="00A973A2">
        <w:rPr>
          <w:rFonts w:hint="eastAsia"/>
          <w:b/>
        </w:rPr>
        <w:t>530</w:t>
      </w:r>
      <w:r w:rsidR="00D133D7" w:rsidRPr="00A973A2">
        <w:rPr>
          <w:rFonts w:hint="eastAsia"/>
          <w:b/>
        </w:rPr>
        <w:t>號</w:t>
      </w:r>
      <w:r w:rsidR="00DD09FA" w:rsidRPr="00A973A2">
        <w:rPr>
          <w:rFonts w:hint="eastAsia"/>
          <w:b/>
        </w:rPr>
        <w:t>等解釋。</w:t>
      </w:r>
    </w:p>
    <w:p w:rsidR="003F244D" w:rsidRPr="00A973A2" w:rsidRDefault="003F244D" w:rsidP="00D133D7">
      <w:pPr>
        <w:pStyle w:val="2"/>
      </w:pPr>
      <w:r w:rsidRPr="00A973A2">
        <w:rPr>
          <w:rFonts w:hint="eastAsia"/>
        </w:rPr>
        <w:t>綜上，從監察法律解釋論而言，憲法規定監察院作為國家最高監察機關於行使職權時，必然就調查時所適用之系爭法令產生監察解釋，當與主管機關解釋法令或是否該法律違憲相衝突時，無法透過監察權解決而聲請司法院大法官解釋，主要係以行使調查權聲請解釋憲法為主。</w:t>
      </w:r>
    </w:p>
    <w:p w:rsidR="00D133D7" w:rsidRPr="00A973A2" w:rsidRDefault="00D133D7" w:rsidP="00D133D7"/>
    <w:p w:rsidR="00DD09FA" w:rsidRPr="00A973A2" w:rsidRDefault="00CB39FE" w:rsidP="00B10D03">
      <w:pPr>
        <w:pStyle w:val="1"/>
        <w:ind w:left="681" w:hangingChars="200" w:hanging="681"/>
        <w:rPr>
          <w:rFonts w:hAnsi="標楷體"/>
          <w:b/>
          <w:szCs w:val="32"/>
        </w:rPr>
      </w:pPr>
      <w:r w:rsidRPr="00A973A2">
        <w:rPr>
          <w:rFonts w:hAnsi="標楷體" w:hint="eastAsia"/>
          <w:b/>
          <w:szCs w:val="32"/>
        </w:rPr>
        <w:t>五權分立平等相維之憲法忠誠義務，</w:t>
      </w:r>
      <w:r w:rsidR="009A5AA5" w:rsidRPr="00A973A2">
        <w:rPr>
          <w:rFonts w:hAnsi="標楷體" w:hint="eastAsia"/>
          <w:b/>
          <w:szCs w:val="32"/>
        </w:rPr>
        <w:t>是</w:t>
      </w:r>
      <w:r w:rsidRPr="00A973A2">
        <w:rPr>
          <w:rFonts w:hAnsi="標楷體" w:hint="eastAsia"/>
          <w:b/>
          <w:szCs w:val="32"/>
        </w:rPr>
        <w:t>保障中華民國憲法權力分立原則之具體實踐</w:t>
      </w:r>
      <w:r w:rsidR="009D4561" w:rsidRPr="00A973A2">
        <w:rPr>
          <w:rFonts w:hAnsi="標楷體" w:hint="eastAsia"/>
          <w:b/>
          <w:szCs w:val="32"/>
        </w:rPr>
        <w:t>。</w:t>
      </w:r>
    </w:p>
    <w:p w:rsidR="009A5AA5" w:rsidRPr="00A973A2" w:rsidRDefault="004D4788" w:rsidP="009A5AA5">
      <w:pPr>
        <w:pStyle w:val="2"/>
        <w:rPr>
          <w:rFonts w:hAnsi="標楷體"/>
          <w:szCs w:val="32"/>
        </w:rPr>
      </w:pPr>
      <w:r w:rsidRPr="00A973A2">
        <w:rPr>
          <w:rFonts w:hAnsi="標楷體" w:hint="eastAsia"/>
          <w:szCs w:val="32"/>
        </w:rPr>
        <w:t>學者許宗力稱</w:t>
      </w:r>
      <w:r w:rsidR="009A5AA5" w:rsidRPr="00A973A2">
        <w:rPr>
          <w:rFonts w:hAnsi="標楷體" w:hint="eastAsia"/>
          <w:szCs w:val="32"/>
        </w:rPr>
        <w:t>：</w:t>
      </w:r>
      <w:r w:rsidR="00D133D7" w:rsidRPr="00A973A2">
        <w:rPr>
          <w:rFonts w:hAnsi="標楷體" w:hint="eastAsia"/>
          <w:szCs w:val="32"/>
        </w:rPr>
        <w:t>「</w:t>
      </w:r>
      <w:r w:rsidR="009A5AA5" w:rsidRPr="00A973A2">
        <w:rPr>
          <w:rFonts w:hAnsi="標楷體" w:hint="eastAsia"/>
          <w:szCs w:val="32"/>
        </w:rPr>
        <w:t>憲法機關忠誠指的是憲法機關彼此間所負之相互扶持、尊重與體諒的義務，不得阻撓其他憲法機關行使職權，也不得使其他憲法機關陷於癱瘓，其具有限制憲法機關權力濫用之功能。憲法機關的協調是憲法機關獨立性的孿生物，要求各憲法機關在行使其憲法上之職權時均須秉持和諧合作精神，任何足以傷害其他憲法機關之尊嚴，也因而傷害憲法本身的行為，都應予以禁止。既然每一憲法機關均為憲法所創設，且因其共同協力合作，憲法才能一再獲得其政治內涵與生命力，則每一憲法機關，倘於行使憲法職權之際，未能給與其他憲法機關適度之尊重，而以言詞或行動加以貶抑，就與憲法所課予之憲法義務背道而馳。機關忠誠義務，可以使憲法機關應自覺於對憲法之整體義務，與其他憲法機關整合、協調相互合作，並不得阻撓其他憲法機關行使職權，或使其他憲法機關陷於癱瘓。</w:t>
      </w:r>
      <w:r w:rsidR="009A5AA5" w:rsidRPr="00A973A2">
        <w:rPr>
          <w:rFonts w:hAnsi="標楷體"/>
          <w:szCs w:val="32"/>
        </w:rPr>
        <w:t>……</w:t>
      </w:r>
      <w:r w:rsidR="009A5AA5" w:rsidRPr="00A973A2">
        <w:rPr>
          <w:rFonts w:hAnsi="標楷體" w:hint="eastAsia"/>
          <w:szCs w:val="32"/>
        </w:rPr>
        <w:t>機關忠誠，單從用語來說，顯然是來自德國的舶來品。但觀其內容，則又好像有那麼一、兩分的熟悉。沒有錯，這個熟悉的印象應是來自</w:t>
      </w:r>
      <w:r w:rsidR="009A5AA5" w:rsidRPr="00A973A2">
        <w:rPr>
          <w:rFonts w:hAnsi="標楷體" w:hint="eastAsia"/>
          <w:szCs w:val="32"/>
          <w:u w:val="single"/>
        </w:rPr>
        <w:t>大法官早期釋字第3號解釋所稱</w:t>
      </w:r>
      <w:r w:rsidR="00D133D7" w:rsidRPr="00A973A2">
        <w:rPr>
          <w:rFonts w:hAnsi="標楷體" w:hint="eastAsia"/>
          <w:szCs w:val="32"/>
          <w:u w:val="single"/>
        </w:rPr>
        <w:t>『五權分治，平等相維』</w:t>
      </w:r>
      <w:r w:rsidR="009A5AA5" w:rsidRPr="00A973A2">
        <w:rPr>
          <w:rFonts w:hAnsi="標楷體" w:hint="eastAsia"/>
          <w:szCs w:val="32"/>
          <w:u w:val="single"/>
        </w:rPr>
        <w:t>的</w:t>
      </w:r>
      <w:r w:rsidR="00D133D7" w:rsidRPr="00A973A2">
        <w:rPr>
          <w:rFonts w:hAnsi="標楷體" w:hint="eastAsia"/>
          <w:szCs w:val="32"/>
          <w:u w:val="single"/>
        </w:rPr>
        <w:t>『</w:t>
      </w:r>
      <w:r w:rsidR="009A5AA5" w:rsidRPr="00A973A2">
        <w:rPr>
          <w:rFonts w:hAnsi="標楷體" w:hint="eastAsia"/>
          <w:szCs w:val="32"/>
          <w:u w:val="single"/>
        </w:rPr>
        <w:t>平等相維</w:t>
      </w:r>
      <w:r w:rsidR="00D133D7" w:rsidRPr="00A973A2">
        <w:rPr>
          <w:rFonts w:hAnsi="標楷體" w:hint="eastAsia"/>
          <w:szCs w:val="32"/>
          <w:u w:val="single"/>
        </w:rPr>
        <w:t>』</w:t>
      </w:r>
      <w:r w:rsidR="009A5AA5" w:rsidRPr="00A973A2">
        <w:rPr>
          <w:rFonts w:hAnsi="標楷體" w:hint="eastAsia"/>
          <w:szCs w:val="32"/>
          <w:u w:val="single"/>
        </w:rPr>
        <w:t>那一面。只是</w:t>
      </w:r>
      <w:r w:rsidR="00D133D7" w:rsidRPr="00A973A2">
        <w:rPr>
          <w:rFonts w:hAnsi="標楷體" w:hint="eastAsia"/>
          <w:szCs w:val="32"/>
          <w:u w:val="single"/>
        </w:rPr>
        <w:t>『</w:t>
      </w:r>
      <w:r w:rsidR="009A5AA5" w:rsidRPr="00A973A2">
        <w:rPr>
          <w:rFonts w:hAnsi="標楷體" w:hint="eastAsia"/>
          <w:szCs w:val="32"/>
          <w:u w:val="single"/>
        </w:rPr>
        <w:t>平等相維</w:t>
      </w:r>
      <w:r w:rsidR="00D133D7" w:rsidRPr="00A973A2">
        <w:rPr>
          <w:rFonts w:hAnsi="標楷體" w:hint="eastAsia"/>
          <w:szCs w:val="32"/>
          <w:u w:val="single"/>
        </w:rPr>
        <w:t>』</w:t>
      </w:r>
      <w:r w:rsidR="009A5AA5" w:rsidRPr="00A973A2">
        <w:rPr>
          <w:rFonts w:hAnsi="標楷體" w:hint="eastAsia"/>
          <w:szCs w:val="32"/>
          <w:u w:val="single"/>
        </w:rPr>
        <w:t>的具體內涵為何，</w:t>
      </w:r>
      <w:r w:rsidR="009A5AA5" w:rsidRPr="00A973A2">
        <w:rPr>
          <w:rFonts w:hAnsi="標楷體" w:hint="eastAsia"/>
          <w:szCs w:val="32"/>
        </w:rPr>
        <w:t>無論是孫中山著作或釋字第3號解釋本身都沒有說清楚講明白，甚至讓人懷疑它只是一個不具任何法規範意涵的華麗政治詞藻而已。不過，既然權力分立做為機關忠誠的法源，已成不爭之論，如果我們能進一步在機關</w:t>
      </w:r>
      <w:r w:rsidR="00D133D7" w:rsidRPr="00A973A2">
        <w:rPr>
          <w:rFonts w:hAnsi="標楷體" w:hint="eastAsia"/>
          <w:szCs w:val="32"/>
        </w:rPr>
        <w:t>『</w:t>
      </w:r>
      <w:r w:rsidR="009A5AA5" w:rsidRPr="00A973A2">
        <w:rPr>
          <w:rFonts w:hAnsi="標楷體" w:hint="eastAsia"/>
          <w:szCs w:val="32"/>
        </w:rPr>
        <w:t>平等相維</w:t>
      </w:r>
      <w:r w:rsidR="00D133D7" w:rsidRPr="00A973A2">
        <w:rPr>
          <w:rFonts w:hAnsi="標楷體" w:hint="eastAsia"/>
          <w:szCs w:val="32"/>
        </w:rPr>
        <w:t>』</w:t>
      </w:r>
      <w:r w:rsidR="009A5AA5" w:rsidRPr="00A973A2">
        <w:rPr>
          <w:rFonts w:hAnsi="標楷體" w:hint="eastAsia"/>
          <w:szCs w:val="32"/>
        </w:rPr>
        <w:t>的既有架構上，以德國實務與學說對機關忠誠的理解來填塞</w:t>
      </w:r>
      <w:r w:rsidR="00D133D7" w:rsidRPr="00A973A2">
        <w:rPr>
          <w:rFonts w:hAnsi="標楷體" w:hint="eastAsia"/>
          <w:szCs w:val="32"/>
        </w:rPr>
        <w:t>『</w:t>
      </w:r>
      <w:r w:rsidR="009A5AA5" w:rsidRPr="00A973A2">
        <w:rPr>
          <w:rFonts w:hAnsi="標楷體" w:hint="eastAsia"/>
          <w:szCs w:val="32"/>
        </w:rPr>
        <w:t>平等相維</w:t>
      </w:r>
      <w:r w:rsidR="00D133D7" w:rsidRPr="00A973A2">
        <w:rPr>
          <w:rFonts w:hAnsi="標楷體" w:hint="eastAsia"/>
          <w:szCs w:val="32"/>
        </w:rPr>
        <w:t>』</w:t>
      </w:r>
      <w:r w:rsidR="009A5AA5" w:rsidRPr="00A973A2">
        <w:rPr>
          <w:rFonts w:hAnsi="標楷體" w:hint="eastAsia"/>
          <w:szCs w:val="32"/>
        </w:rPr>
        <w:t>的內涵，則</w:t>
      </w:r>
      <w:r w:rsidR="009A5AA5" w:rsidRPr="00A973A2">
        <w:rPr>
          <w:rFonts w:hAnsi="標楷體" w:hint="eastAsia"/>
          <w:szCs w:val="32"/>
          <w:u w:val="single"/>
        </w:rPr>
        <w:t>無論今後是要撐</w:t>
      </w:r>
      <w:r w:rsidR="00D133D7" w:rsidRPr="00A973A2">
        <w:rPr>
          <w:rFonts w:hAnsi="標楷體" w:hint="eastAsia"/>
          <w:szCs w:val="32"/>
          <w:u w:val="single"/>
        </w:rPr>
        <w:t>『</w:t>
      </w:r>
      <w:r w:rsidR="009A5AA5" w:rsidRPr="00A973A2">
        <w:rPr>
          <w:rFonts w:hAnsi="標楷體" w:hint="eastAsia"/>
          <w:szCs w:val="32"/>
          <w:u w:val="single"/>
        </w:rPr>
        <w:t>機關忠誠</w:t>
      </w:r>
      <w:r w:rsidR="00D133D7" w:rsidRPr="00A973A2">
        <w:rPr>
          <w:rFonts w:hAnsi="標楷體" w:hint="eastAsia"/>
          <w:szCs w:val="32"/>
          <w:u w:val="single"/>
        </w:rPr>
        <w:t>』</w:t>
      </w:r>
      <w:r w:rsidR="009A5AA5" w:rsidRPr="00A973A2">
        <w:rPr>
          <w:rFonts w:hAnsi="標楷體" w:hint="eastAsia"/>
          <w:szCs w:val="32"/>
          <w:u w:val="single"/>
        </w:rPr>
        <w:t>或</w:t>
      </w:r>
      <w:r w:rsidR="00D133D7" w:rsidRPr="00A973A2">
        <w:rPr>
          <w:rFonts w:hAnsi="標楷體" w:hint="eastAsia"/>
          <w:szCs w:val="32"/>
          <w:u w:val="single"/>
        </w:rPr>
        <w:t>『</w:t>
      </w:r>
      <w:r w:rsidR="009A5AA5" w:rsidRPr="00A973A2">
        <w:rPr>
          <w:rFonts w:hAnsi="標楷體" w:hint="eastAsia"/>
          <w:szCs w:val="32"/>
          <w:u w:val="single"/>
        </w:rPr>
        <w:t>機關相維</w:t>
      </w:r>
      <w:r w:rsidR="00D133D7" w:rsidRPr="00A973A2">
        <w:rPr>
          <w:rFonts w:hAnsi="標楷體" w:hint="eastAsia"/>
          <w:szCs w:val="32"/>
          <w:u w:val="single"/>
        </w:rPr>
        <w:t>』</w:t>
      </w:r>
      <w:r w:rsidR="009A5AA5" w:rsidRPr="00A973A2">
        <w:rPr>
          <w:rFonts w:hAnsi="標楷體" w:hint="eastAsia"/>
          <w:szCs w:val="32"/>
          <w:u w:val="single"/>
        </w:rPr>
        <w:t>，至少它已經是一個具有真正規範內容，具有可操作性的的憲法原則了。更重要一點是，對以政黨鬥爭為尚，視政治妥協如無物的現階段我國而言，引進課予各機關相互扶持、尊重與體諒義務的機關忠誠原則，別具一番深遠的現實意義。</w:t>
      </w:r>
      <w:r w:rsidR="00D133D7" w:rsidRPr="00A973A2">
        <w:rPr>
          <w:rFonts w:hAnsi="標楷體" w:hint="eastAsia"/>
          <w:szCs w:val="32"/>
          <w:u w:val="single"/>
        </w:rPr>
        <w:t>」</w:t>
      </w:r>
      <w:r w:rsidR="009A5AA5" w:rsidRPr="00A973A2">
        <w:rPr>
          <w:rStyle w:val="aff"/>
          <w:rFonts w:hAnsi="標楷體" w:cs="DFKaiShu-SB-Estd-BF"/>
          <w:kern w:val="0"/>
          <w:szCs w:val="32"/>
        </w:rPr>
        <w:footnoteReference w:id="21"/>
      </w:r>
    </w:p>
    <w:p w:rsidR="00124E15" w:rsidRPr="00A973A2" w:rsidRDefault="009B414A" w:rsidP="00BE5F36">
      <w:pPr>
        <w:pStyle w:val="2"/>
        <w:rPr>
          <w:rFonts w:hAnsi="標楷體"/>
          <w:szCs w:val="32"/>
        </w:rPr>
      </w:pPr>
      <w:r w:rsidRPr="00A973A2">
        <w:rPr>
          <w:rFonts w:hAnsi="標楷體" w:hint="eastAsia"/>
          <w:szCs w:val="32"/>
        </w:rPr>
        <w:t>在</w:t>
      </w:r>
      <w:r w:rsidR="005F3F91" w:rsidRPr="00A973A2">
        <w:rPr>
          <w:rFonts w:hAnsi="標楷體" w:hint="eastAsia"/>
          <w:szCs w:val="32"/>
        </w:rPr>
        <w:t>民主國家中，監察機關</w:t>
      </w:r>
      <w:r w:rsidRPr="00A973A2">
        <w:rPr>
          <w:rFonts w:hAnsi="標楷體" w:hint="eastAsia"/>
          <w:szCs w:val="32"/>
        </w:rPr>
        <w:t>作為水平職責機制，雖是中央政府的一部份，但不屬於行政部門，且其運作獨立於政府各部門之外。監察機關負起政府與</w:t>
      </w:r>
      <w:r w:rsidR="006818A6" w:rsidRPr="00A973A2">
        <w:rPr>
          <w:rFonts w:hAnsi="標楷體" w:hint="eastAsia"/>
          <w:szCs w:val="32"/>
        </w:rPr>
        <w:t>民眾之間垂直職責的機制，民眾因而得以向監察機關提出就政府權力行使違失之</w:t>
      </w:r>
      <w:r w:rsidRPr="00A973A2">
        <w:rPr>
          <w:rFonts w:hAnsi="標楷體" w:hint="eastAsia"/>
          <w:szCs w:val="32"/>
        </w:rPr>
        <w:t>陳情。監察機關經調查、評估，並向政府提出關鍵性的報告</w:t>
      </w:r>
      <w:r w:rsidRPr="00A973A2">
        <w:rPr>
          <w:rStyle w:val="aff"/>
          <w:rFonts w:hAnsi="標楷體"/>
          <w:szCs w:val="32"/>
        </w:rPr>
        <w:footnoteReference w:id="22"/>
      </w:r>
      <w:r w:rsidRPr="00A973A2">
        <w:rPr>
          <w:rFonts w:hAnsi="標楷體" w:hint="eastAsia"/>
          <w:szCs w:val="32"/>
        </w:rPr>
        <w:t>。</w:t>
      </w:r>
      <w:r w:rsidR="00BE5F36" w:rsidRPr="00A973A2">
        <w:rPr>
          <w:rFonts w:hAnsi="標楷體" w:hint="eastAsia"/>
          <w:szCs w:val="32"/>
        </w:rPr>
        <w:t>我國</w:t>
      </w:r>
      <w:r w:rsidR="004D4788" w:rsidRPr="00A973A2">
        <w:rPr>
          <w:rFonts w:hAnsi="標楷體" w:hint="eastAsia"/>
          <w:szCs w:val="32"/>
        </w:rPr>
        <w:t>監察院</w:t>
      </w:r>
      <w:r w:rsidR="00BE5F36" w:rsidRPr="00A973A2">
        <w:rPr>
          <w:rFonts w:hAnsi="標楷體" w:hint="eastAsia"/>
          <w:szCs w:val="32"/>
        </w:rPr>
        <w:t>係屬憲法最高監察機關，</w:t>
      </w:r>
      <w:r w:rsidR="004D4788" w:rsidRPr="00A973A2">
        <w:rPr>
          <w:rFonts w:hAnsi="標楷體" w:hint="eastAsia"/>
          <w:b/>
          <w:szCs w:val="32"/>
        </w:rPr>
        <w:t>從機關功能最適論，</w:t>
      </w:r>
      <w:r w:rsidR="005F3F91" w:rsidRPr="00A973A2">
        <w:rPr>
          <w:rFonts w:hAnsi="標楷體" w:hint="eastAsia"/>
          <w:b/>
          <w:szCs w:val="32"/>
        </w:rPr>
        <w:t>具有人權保障之機能</w:t>
      </w:r>
      <w:r w:rsidR="004D4788" w:rsidRPr="00A973A2">
        <w:rPr>
          <w:rFonts w:hAnsi="標楷體" w:hint="eastAsia"/>
          <w:b/>
          <w:szCs w:val="32"/>
        </w:rPr>
        <w:t>，</w:t>
      </w:r>
      <w:r w:rsidR="004814DB" w:rsidRPr="00A973A2">
        <w:rPr>
          <w:rFonts w:hAnsi="標楷體" w:hint="eastAsia"/>
          <w:b/>
          <w:szCs w:val="32"/>
        </w:rPr>
        <w:t>雖</w:t>
      </w:r>
      <w:r w:rsidR="004D4788" w:rsidRPr="00A973A2">
        <w:rPr>
          <w:rFonts w:hAnsi="標楷體" w:hint="eastAsia"/>
          <w:b/>
          <w:szCs w:val="32"/>
        </w:rPr>
        <w:t>具有廣泛的法令審查權</w:t>
      </w:r>
      <w:r w:rsidR="00A11CD7" w:rsidRPr="00A973A2">
        <w:rPr>
          <w:rFonts w:hAnsi="標楷體" w:hint="eastAsia"/>
          <w:b/>
          <w:szCs w:val="32"/>
        </w:rPr>
        <w:t>，</w:t>
      </w:r>
      <w:r w:rsidR="004814DB" w:rsidRPr="00A973A2">
        <w:rPr>
          <w:rFonts w:hAnsi="標楷體" w:hint="eastAsia"/>
          <w:b/>
          <w:szCs w:val="32"/>
        </w:rPr>
        <w:t>然因無</w:t>
      </w:r>
      <w:r w:rsidR="006818A6" w:rsidRPr="00A973A2">
        <w:rPr>
          <w:rFonts w:hAnsi="標楷體" w:hint="eastAsia"/>
          <w:b/>
          <w:szCs w:val="32"/>
        </w:rPr>
        <w:t>「</w:t>
      </w:r>
      <w:r w:rsidR="004814DB" w:rsidRPr="00A973A2">
        <w:rPr>
          <w:rFonts w:hAnsi="標楷體" w:hint="eastAsia"/>
          <w:b/>
          <w:szCs w:val="32"/>
        </w:rPr>
        <w:t>最終決定權</w:t>
      </w:r>
      <w:r w:rsidR="006818A6" w:rsidRPr="00A973A2">
        <w:rPr>
          <w:rFonts w:hAnsi="標楷體" w:hint="eastAsia"/>
          <w:b/>
          <w:szCs w:val="32"/>
        </w:rPr>
        <w:t>」</w:t>
      </w:r>
      <w:r w:rsidR="004814DB" w:rsidRPr="00A973A2">
        <w:rPr>
          <w:rFonts w:hAnsi="標楷體" w:hint="eastAsia"/>
          <w:b/>
          <w:szCs w:val="32"/>
        </w:rPr>
        <w:t>，</w:t>
      </w:r>
      <w:r w:rsidR="00A11CD7" w:rsidRPr="00A973A2">
        <w:rPr>
          <w:rFonts w:hAnsi="標楷體" w:hint="eastAsia"/>
          <w:b/>
          <w:szCs w:val="32"/>
        </w:rPr>
        <w:t>僅</w:t>
      </w:r>
      <w:r w:rsidR="004814DB" w:rsidRPr="00A973A2">
        <w:rPr>
          <w:rFonts w:hAnsi="標楷體" w:hint="eastAsia"/>
          <w:b/>
          <w:szCs w:val="32"/>
        </w:rPr>
        <w:t>為</w:t>
      </w:r>
      <w:r w:rsidR="00A11CD7" w:rsidRPr="00A973A2">
        <w:rPr>
          <w:rFonts w:hAnsi="標楷體" w:hint="eastAsia"/>
          <w:b/>
          <w:szCs w:val="32"/>
        </w:rPr>
        <w:t>柔性勸說之力量</w:t>
      </w:r>
      <w:r w:rsidR="00A11CD7" w:rsidRPr="00A973A2">
        <w:rPr>
          <w:rStyle w:val="aff"/>
          <w:rFonts w:hAnsi="標楷體"/>
          <w:szCs w:val="32"/>
        </w:rPr>
        <w:footnoteReference w:id="23"/>
      </w:r>
      <w:r w:rsidR="004814DB" w:rsidRPr="00A973A2">
        <w:rPr>
          <w:rFonts w:hAnsi="標楷體" w:hint="eastAsia"/>
          <w:szCs w:val="32"/>
        </w:rPr>
        <w:t>（在我國</w:t>
      </w:r>
      <w:r w:rsidR="006818A6" w:rsidRPr="00A973A2">
        <w:rPr>
          <w:rFonts w:hAnsi="標楷體" w:hint="eastAsia"/>
          <w:szCs w:val="32"/>
        </w:rPr>
        <w:t>監察實務</w:t>
      </w:r>
      <w:r w:rsidR="004814DB" w:rsidRPr="00A973A2">
        <w:rPr>
          <w:rFonts w:hAnsi="標楷體" w:hint="eastAsia"/>
          <w:szCs w:val="32"/>
        </w:rPr>
        <w:t>調查後</w:t>
      </w:r>
      <w:r w:rsidR="006818A6" w:rsidRPr="00A973A2">
        <w:rPr>
          <w:rFonts w:hAnsi="標楷體" w:hint="eastAsia"/>
          <w:szCs w:val="32"/>
        </w:rPr>
        <w:t>，</w:t>
      </w:r>
      <w:r w:rsidR="004814DB" w:rsidRPr="00A973A2">
        <w:rPr>
          <w:rFonts w:hAnsi="標楷體" w:hint="eastAsia"/>
          <w:szCs w:val="32"/>
        </w:rPr>
        <w:t>縱使糾正而提案彈劾之情形</w:t>
      </w:r>
      <w:r w:rsidR="006818A6" w:rsidRPr="00A973A2">
        <w:rPr>
          <w:rFonts w:hAnsi="標楷體" w:hint="eastAsia"/>
          <w:szCs w:val="32"/>
        </w:rPr>
        <w:t>亦</w:t>
      </w:r>
      <w:r w:rsidR="004814DB" w:rsidRPr="00A973A2">
        <w:rPr>
          <w:rFonts w:hAnsi="標楷體" w:hint="eastAsia"/>
          <w:szCs w:val="32"/>
        </w:rPr>
        <w:t>極少）</w:t>
      </w:r>
      <w:r w:rsidR="004D4788" w:rsidRPr="00A973A2">
        <w:rPr>
          <w:rFonts w:hAnsi="標楷體" w:hint="eastAsia"/>
          <w:szCs w:val="32"/>
        </w:rPr>
        <w:t>，</w:t>
      </w:r>
      <w:r w:rsidR="00124E15" w:rsidRPr="00A973A2">
        <w:rPr>
          <w:rFonts w:hAnsi="標楷體" w:hint="eastAsia"/>
          <w:b/>
          <w:szCs w:val="32"/>
        </w:rPr>
        <w:t>而</w:t>
      </w:r>
      <w:r w:rsidR="00A11CD7" w:rsidRPr="00A973A2">
        <w:rPr>
          <w:rFonts w:hAnsi="標楷體" w:hint="eastAsia"/>
          <w:b/>
          <w:szCs w:val="32"/>
        </w:rPr>
        <w:t>無</w:t>
      </w:r>
      <w:r w:rsidR="004D4788" w:rsidRPr="00A973A2">
        <w:rPr>
          <w:rFonts w:hAnsi="標楷體" w:hint="eastAsia"/>
          <w:b/>
          <w:szCs w:val="32"/>
        </w:rPr>
        <w:t>法成為司法權第四審、行政權與考試權太上院，至於立法權更非監察權</w:t>
      </w:r>
      <w:r w:rsidR="006818A6" w:rsidRPr="00A973A2">
        <w:rPr>
          <w:rFonts w:hAnsi="標楷體" w:hint="eastAsia"/>
          <w:b/>
          <w:szCs w:val="32"/>
        </w:rPr>
        <w:t>行使對象，</w:t>
      </w:r>
      <w:r w:rsidR="004D4788" w:rsidRPr="00A973A2">
        <w:rPr>
          <w:rFonts w:hAnsi="標楷體" w:hint="eastAsia"/>
          <w:b/>
          <w:szCs w:val="32"/>
        </w:rPr>
        <w:t>更無從</w:t>
      </w:r>
      <w:r w:rsidR="006D0BE8" w:rsidRPr="00A973A2">
        <w:rPr>
          <w:rFonts w:hAnsi="標楷體" w:hint="eastAsia"/>
          <w:b/>
          <w:szCs w:val="32"/>
        </w:rPr>
        <w:t>發生</w:t>
      </w:r>
      <w:r w:rsidR="004D4788" w:rsidRPr="00A973A2">
        <w:rPr>
          <w:rFonts w:hAnsi="標楷體" w:hint="eastAsia"/>
          <w:b/>
          <w:szCs w:val="32"/>
        </w:rPr>
        <w:t>促請立法權修法之「權力與實力」，亦不可能產生間接糾正立法權之法拘束力。相反地，監察權</w:t>
      </w:r>
      <w:r w:rsidR="00BE5F36" w:rsidRPr="00A973A2">
        <w:rPr>
          <w:rFonts w:hAnsi="標楷體" w:hint="eastAsia"/>
          <w:b/>
          <w:szCs w:val="32"/>
        </w:rPr>
        <w:t>因保</w:t>
      </w:r>
      <w:r w:rsidR="004D4788" w:rsidRPr="00A973A2">
        <w:rPr>
          <w:rFonts w:hAnsi="標楷體" w:hint="eastAsia"/>
          <w:b/>
          <w:szCs w:val="32"/>
        </w:rPr>
        <w:t>障司法院大法官解釋之具體實踐</w:t>
      </w:r>
      <w:r w:rsidR="00A11CD7" w:rsidRPr="00A973A2">
        <w:rPr>
          <w:rFonts w:hAnsi="標楷體" w:hint="eastAsia"/>
          <w:b/>
          <w:szCs w:val="32"/>
        </w:rPr>
        <w:t>，保障行政權與考試權依法行政與善治</w:t>
      </w:r>
      <w:r w:rsidR="00124E15" w:rsidRPr="00A973A2">
        <w:rPr>
          <w:rFonts w:hAnsi="標楷體" w:hint="eastAsia"/>
          <w:b/>
          <w:szCs w:val="32"/>
        </w:rPr>
        <w:t>，</w:t>
      </w:r>
      <w:r w:rsidR="00500791" w:rsidRPr="00A973A2">
        <w:rPr>
          <w:rFonts w:hAnsi="標楷體" w:hint="eastAsia"/>
          <w:b/>
          <w:szCs w:val="32"/>
        </w:rPr>
        <w:t>具有</w:t>
      </w:r>
      <w:r w:rsidR="006818A6" w:rsidRPr="00A973A2">
        <w:rPr>
          <w:rFonts w:hAnsi="標楷體" w:hint="eastAsia"/>
          <w:b/>
          <w:szCs w:val="32"/>
        </w:rPr>
        <w:t>「</w:t>
      </w:r>
      <w:r w:rsidR="00124E15" w:rsidRPr="00A973A2">
        <w:rPr>
          <w:rFonts w:hAnsi="標楷體" w:hint="eastAsia"/>
          <w:b/>
          <w:szCs w:val="32"/>
        </w:rPr>
        <w:t>守護人權，捍衛社會正義</w:t>
      </w:r>
      <w:r w:rsidR="006818A6" w:rsidRPr="00A973A2">
        <w:rPr>
          <w:rFonts w:hAnsi="標楷體" w:hint="eastAsia"/>
          <w:b/>
          <w:szCs w:val="32"/>
        </w:rPr>
        <w:t>」</w:t>
      </w:r>
      <w:r w:rsidR="00500791" w:rsidRPr="00A973A2">
        <w:rPr>
          <w:rFonts w:hAnsi="標楷體" w:hint="eastAsia"/>
          <w:b/>
          <w:szCs w:val="32"/>
        </w:rPr>
        <w:t>之功能</w:t>
      </w:r>
      <w:r w:rsidR="00500791" w:rsidRPr="00A973A2">
        <w:rPr>
          <w:rFonts w:hAnsi="標楷體" w:hint="eastAsia"/>
          <w:szCs w:val="32"/>
        </w:rPr>
        <w:t>，</w:t>
      </w:r>
      <w:r w:rsidR="00124E15" w:rsidRPr="00A973A2">
        <w:rPr>
          <w:rFonts w:hAnsi="標楷體" w:hint="eastAsia"/>
          <w:szCs w:val="32"/>
        </w:rPr>
        <w:t>人權為當前國際社會追求之普世價值，並為現代民主社會之</w:t>
      </w:r>
      <w:r w:rsidR="006818A6" w:rsidRPr="00A973A2">
        <w:rPr>
          <w:rFonts w:hAnsi="標楷體" w:hint="eastAsia"/>
          <w:szCs w:val="32"/>
        </w:rPr>
        <w:t>重要</w:t>
      </w:r>
      <w:r w:rsidR="00124E15" w:rsidRPr="00A973A2">
        <w:rPr>
          <w:rFonts w:hAnsi="標楷體" w:hint="eastAsia"/>
          <w:szCs w:val="32"/>
        </w:rPr>
        <w:t>表徵。</w:t>
      </w:r>
      <w:r w:rsidR="00D133D7" w:rsidRPr="00A973A2">
        <w:rPr>
          <w:rFonts w:hAnsi="標楷體" w:hint="eastAsia"/>
          <w:szCs w:val="32"/>
        </w:rPr>
        <w:t>西元</w:t>
      </w:r>
      <w:r w:rsidR="00500791" w:rsidRPr="00A973A2">
        <w:rPr>
          <w:rFonts w:hAnsi="標楷體" w:hint="eastAsia"/>
          <w:szCs w:val="32"/>
        </w:rPr>
        <w:t>1991</w:t>
      </w:r>
      <w:r w:rsidR="00124E15" w:rsidRPr="00A973A2">
        <w:rPr>
          <w:rFonts w:hAnsi="標楷體" w:hint="eastAsia"/>
          <w:szCs w:val="32"/>
        </w:rPr>
        <w:t>年人權機構首次國際研討會結論，獲致舉世公知之「巴黎原則」(The Paris Principles)，明揭國家人權機構主要之任務，</w:t>
      </w:r>
      <w:r w:rsidR="00500791" w:rsidRPr="00A973A2">
        <w:rPr>
          <w:rFonts w:hAnsi="標楷體" w:hint="eastAsia"/>
          <w:szCs w:val="32"/>
        </w:rPr>
        <w:t>監察院</w:t>
      </w:r>
      <w:r w:rsidR="00124E15" w:rsidRPr="00A973A2">
        <w:rPr>
          <w:rFonts w:hAnsi="標楷體" w:hint="eastAsia"/>
          <w:szCs w:val="32"/>
        </w:rPr>
        <w:t>在獨立行使職權及接受人民陳訴，實踐國際人權法之角色</w:t>
      </w:r>
      <w:r w:rsidR="00500791" w:rsidRPr="00A973A2">
        <w:rPr>
          <w:rFonts w:hAnsi="標楷體" w:hint="eastAsia"/>
          <w:szCs w:val="32"/>
        </w:rPr>
        <w:t>，</w:t>
      </w:r>
      <w:r w:rsidR="006818A6" w:rsidRPr="00A973A2">
        <w:rPr>
          <w:rFonts w:hAnsi="標楷體" w:hint="eastAsia"/>
          <w:szCs w:val="32"/>
        </w:rPr>
        <w:t>監察權能以</w:t>
      </w:r>
      <w:r w:rsidR="006818A6" w:rsidRPr="00A973A2">
        <w:rPr>
          <w:rFonts w:hAnsi="標楷體" w:hint="eastAsia"/>
          <w:szCs w:val="32"/>
          <w:u w:val="single"/>
        </w:rPr>
        <w:t>非司法手段，對政府權力作外部之監督，</w:t>
      </w:r>
      <w:r w:rsidR="00124E15" w:rsidRPr="00A973A2">
        <w:rPr>
          <w:rFonts w:hAnsi="標楷體" w:hint="eastAsia"/>
          <w:szCs w:val="32"/>
          <w:u w:val="single"/>
        </w:rPr>
        <w:t>有</w:t>
      </w:r>
      <w:r w:rsidR="00616230" w:rsidRPr="00A973A2">
        <w:rPr>
          <w:rFonts w:hAnsi="標楷體" w:hint="eastAsia"/>
          <w:szCs w:val="32"/>
          <w:u w:val="single"/>
        </w:rPr>
        <w:t>其制衡意義</w:t>
      </w:r>
      <w:r w:rsidR="00124E15" w:rsidRPr="00A973A2">
        <w:rPr>
          <w:rFonts w:hAnsi="標楷體" w:hint="eastAsia"/>
          <w:szCs w:val="32"/>
        </w:rPr>
        <w:t>。就現代組織管理理論有關設計、執行與驗收三個階段而言，行政院負責政策規劃、執行與評估；立法院制定法令、審查預算，擁有使政策合法化或變更廢止之主要權力，均扮演設計決策和執行之角色，而監察院扮演之控制、驗收及考核角色，具備中立及外在的特性，如此建構現代與效能之政府。</w:t>
      </w:r>
      <w:r w:rsidR="00BE5F36" w:rsidRPr="00A973A2">
        <w:rPr>
          <w:rFonts w:hAnsi="標楷體" w:hint="eastAsia"/>
          <w:szCs w:val="32"/>
        </w:rPr>
        <w:t>換言之，</w:t>
      </w:r>
      <w:r w:rsidR="00124E15" w:rsidRPr="00A973A2">
        <w:rPr>
          <w:rFonts w:hAnsi="標楷體" w:hint="eastAsia"/>
          <w:szCs w:val="32"/>
        </w:rPr>
        <w:t>在政策規劃或執行過程中，</w:t>
      </w:r>
      <w:r w:rsidR="00BE5F36" w:rsidRPr="00A973A2">
        <w:rPr>
          <w:rFonts w:hAnsi="標楷體" w:hint="eastAsia"/>
          <w:szCs w:val="32"/>
        </w:rPr>
        <w:t>監察權確保「憲法具有最高規範性」，</w:t>
      </w:r>
      <w:r w:rsidR="00124E15" w:rsidRPr="00A973A2">
        <w:rPr>
          <w:rFonts w:hAnsi="標楷體" w:hint="eastAsia"/>
          <w:szCs w:val="32"/>
        </w:rPr>
        <w:t>督促政府踐行對民眾之承諾，尊重法治原則，嚴守</w:t>
      </w:r>
      <w:r w:rsidR="00BE5F36" w:rsidRPr="00A973A2">
        <w:rPr>
          <w:rFonts w:hAnsi="標楷體" w:hint="eastAsia"/>
          <w:szCs w:val="32"/>
        </w:rPr>
        <w:t>程序正義，增進政府的效能，具</w:t>
      </w:r>
      <w:r w:rsidR="00124E15" w:rsidRPr="00A973A2">
        <w:rPr>
          <w:rFonts w:hAnsi="標楷體" w:hint="eastAsia"/>
          <w:szCs w:val="32"/>
        </w:rPr>
        <w:t>有不可忽視之意義與價值。</w:t>
      </w:r>
      <w:r w:rsidR="006818A6" w:rsidRPr="00A973A2">
        <w:rPr>
          <w:rFonts w:hAnsi="標楷體" w:hint="eastAsia"/>
          <w:szCs w:val="32"/>
        </w:rPr>
        <w:t>前揭監察權之運作與實施正是</w:t>
      </w:r>
      <w:r w:rsidR="00F915E8" w:rsidRPr="00A973A2">
        <w:rPr>
          <w:rFonts w:hAnsi="標楷體" w:hint="eastAsia"/>
          <w:szCs w:val="32"/>
        </w:rPr>
        <w:t>司法院</w:t>
      </w:r>
      <w:r w:rsidR="006818A6" w:rsidRPr="00A973A2">
        <w:rPr>
          <w:rFonts w:hAnsi="標楷體" w:hint="eastAsia"/>
          <w:szCs w:val="32"/>
        </w:rPr>
        <w:t>釋字第3號解釋所稱「五權分治，平等相維」之真正憲法</w:t>
      </w:r>
      <w:r w:rsidR="00BE5F36" w:rsidRPr="00A973A2">
        <w:rPr>
          <w:rFonts w:hAnsi="標楷體" w:hint="eastAsia"/>
          <w:szCs w:val="32"/>
        </w:rPr>
        <w:t>含意</w:t>
      </w:r>
      <w:r w:rsidR="000A0D60" w:rsidRPr="00A973A2">
        <w:rPr>
          <w:rFonts w:hAnsi="標楷體" w:hint="eastAsia"/>
          <w:szCs w:val="32"/>
        </w:rPr>
        <w:t>。</w:t>
      </w:r>
    </w:p>
    <w:p w:rsidR="000A0D60" w:rsidRPr="00A973A2" w:rsidRDefault="000A0D60" w:rsidP="009D4561">
      <w:pPr>
        <w:pStyle w:val="2"/>
        <w:rPr>
          <w:rFonts w:hAnsi="標楷體"/>
          <w:b/>
        </w:rPr>
      </w:pPr>
      <w:r w:rsidRPr="00A973A2">
        <w:rPr>
          <w:rFonts w:hAnsi="標楷體" w:hint="eastAsia"/>
          <w:b/>
        </w:rPr>
        <w:t>司法權不宜因本案特殊性質，跨越權力分立之界限，背離</w:t>
      </w:r>
      <w:r w:rsidR="00A446AB" w:rsidRPr="00A973A2">
        <w:rPr>
          <w:rFonts w:hAnsi="標楷體" w:hint="eastAsia"/>
          <w:b/>
        </w:rPr>
        <w:t>憲法第90條規定：「監察院為國家最高監察機關」與第171條規定：「法律與憲法牴觸者無效。法律與憲法有無牴觸發生疑義時，由司法院解釋之。」</w:t>
      </w:r>
      <w:r w:rsidR="009D4561" w:rsidRPr="00A973A2">
        <w:rPr>
          <w:rFonts w:hAnsi="標楷體" w:hint="eastAsia"/>
          <w:b/>
        </w:rPr>
        <w:t>而造成司法權與監察權衝突，引致該當司法院大法官案件審理法</w:t>
      </w:r>
      <w:r w:rsidR="009D4561" w:rsidRPr="00A973A2">
        <w:rPr>
          <w:rFonts w:hAnsi="標楷體" w:hint="eastAsia"/>
          <w:b/>
          <w:szCs w:val="32"/>
        </w:rPr>
        <w:t>第5條第1項第1款規定：「或因行使職權與其他機關之職權，發生適用憲法之爭議</w:t>
      </w:r>
      <w:r w:rsidR="00A446AB" w:rsidRPr="00A973A2">
        <w:rPr>
          <w:rFonts w:hAnsi="標楷體" w:hint="eastAsia"/>
          <w:b/>
        </w:rPr>
        <w:t>。</w:t>
      </w:r>
      <w:r w:rsidR="009D4561" w:rsidRPr="00A973A2">
        <w:rPr>
          <w:rFonts w:hAnsi="標楷體" w:hint="eastAsia"/>
          <w:b/>
        </w:rPr>
        <w:t>」之機關權限衝突之憲法爭議。</w:t>
      </w:r>
    </w:p>
    <w:p w:rsidR="000A0D60" w:rsidRPr="00A973A2" w:rsidRDefault="00A446AB" w:rsidP="00A446AB">
      <w:pPr>
        <w:pStyle w:val="3"/>
        <w:rPr>
          <w:rFonts w:hAnsi="標楷體"/>
          <w:szCs w:val="32"/>
        </w:rPr>
      </w:pPr>
      <w:r w:rsidRPr="00A973A2">
        <w:rPr>
          <w:rFonts w:hAnsi="標楷體" w:hint="eastAsia"/>
          <w:szCs w:val="32"/>
        </w:rPr>
        <w:t>依據憲法第90條規定：「監察院為國家最高監察機關」</w:t>
      </w:r>
      <w:r w:rsidR="00F915E8" w:rsidRPr="00A973A2">
        <w:rPr>
          <w:rFonts w:hAnsi="標楷體" w:hint="eastAsia"/>
          <w:szCs w:val="32"/>
        </w:rPr>
        <w:t>，</w:t>
      </w:r>
      <w:r w:rsidRPr="00A973A2">
        <w:rPr>
          <w:rFonts w:hAnsi="標楷體" w:hint="eastAsia"/>
          <w:szCs w:val="32"/>
        </w:rPr>
        <w:t>按前揭憲法規定</w:t>
      </w:r>
      <w:r w:rsidR="006D0BE8" w:rsidRPr="00A973A2">
        <w:rPr>
          <w:rFonts w:hAnsi="標楷體" w:hint="eastAsia"/>
          <w:szCs w:val="32"/>
        </w:rPr>
        <w:t>監察院</w:t>
      </w:r>
      <w:r w:rsidRPr="00A973A2">
        <w:rPr>
          <w:rFonts w:hAnsi="標楷體" w:hint="eastAsia"/>
          <w:szCs w:val="32"/>
        </w:rPr>
        <w:t>對於其他機關行為具有「合法性審查」與「合目的性審查」之權力，</w:t>
      </w:r>
      <w:r w:rsidR="006D0BE8" w:rsidRPr="00A973A2">
        <w:rPr>
          <w:rFonts w:hAnsi="標楷體" w:hint="eastAsia"/>
          <w:szCs w:val="32"/>
        </w:rPr>
        <w:t>假設</w:t>
      </w:r>
      <w:r w:rsidRPr="00A973A2">
        <w:rPr>
          <w:rFonts w:hAnsi="標楷體" w:hint="eastAsia"/>
          <w:szCs w:val="32"/>
        </w:rPr>
        <w:t>在尚未</w:t>
      </w:r>
      <w:r w:rsidR="006D0BE8" w:rsidRPr="00A973A2">
        <w:rPr>
          <w:rFonts w:hAnsi="標楷體" w:hint="eastAsia"/>
          <w:szCs w:val="32"/>
        </w:rPr>
        <w:t>訂定</w:t>
      </w:r>
      <w:r w:rsidRPr="00A973A2">
        <w:rPr>
          <w:rFonts w:hAnsi="標楷體" w:hint="eastAsia"/>
          <w:szCs w:val="32"/>
        </w:rPr>
        <w:t>下位階法令時，如司法院大法官會議規則、司法院大法官會議法與司法院大法官審理案件法，</w:t>
      </w:r>
      <w:r w:rsidR="0022756F" w:rsidRPr="00A973A2">
        <w:rPr>
          <w:rFonts w:hAnsi="標楷體" w:hint="eastAsia"/>
          <w:szCs w:val="32"/>
        </w:rPr>
        <w:t>監察院</w:t>
      </w:r>
      <w:r w:rsidRPr="00A973A2">
        <w:rPr>
          <w:rFonts w:hAnsi="標楷體" w:hint="eastAsia"/>
          <w:szCs w:val="32"/>
        </w:rPr>
        <w:t>發見「法律與憲法有無牴觸發生疑義」</w:t>
      </w:r>
      <w:r w:rsidR="006D0BE8" w:rsidRPr="00A973A2">
        <w:rPr>
          <w:rFonts w:hAnsi="標楷體" w:hint="eastAsia"/>
          <w:szCs w:val="32"/>
        </w:rPr>
        <w:t>，</w:t>
      </w:r>
      <w:r w:rsidR="0022756F" w:rsidRPr="00A973A2">
        <w:rPr>
          <w:rFonts w:hAnsi="標楷體" w:hint="eastAsia"/>
          <w:szCs w:val="32"/>
        </w:rPr>
        <w:t>作為憲法的最高監察機關</w:t>
      </w:r>
      <w:r w:rsidRPr="00A973A2">
        <w:rPr>
          <w:rFonts w:hAnsi="標楷體" w:hint="eastAsia"/>
          <w:szCs w:val="32"/>
        </w:rPr>
        <w:t>得否咨請司法院解釋</w:t>
      </w:r>
      <w:r w:rsidR="0022756F" w:rsidRPr="00A973A2">
        <w:rPr>
          <w:rFonts w:hAnsi="標楷體" w:hint="eastAsia"/>
          <w:szCs w:val="32"/>
        </w:rPr>
        <w:t>，此即五權憲法的真正意涵，司法院大法官若認為違反憲法規範，理由為何？</w:t>
      </w:r>
    </w:p>
    <w:p w:rsidR="0022756F" w:rsidRPr="00A973A2" w:rsidRDefault="0022756F" w:rsidP="0022756F">
      <w:pPr>
        <w:pStyle w:val="3"/>
        <w:rPr>
          <w:rFonts w:hAnsi="標楷體"/>
          <w:szCs w:val="32"/>
        </w:rPr>
      </w:pPr>
      <w:r w:rsidRPr="00A973A2">
        <w:rPr>
          <w:rFonts w:hAnsi="標楷體" w:hint="eastAsia"/>
          <w:szCs w:val="32"/>
        </w:rPr>
        <w:t>如前所述，違憲審查制度是美國於</w:t>
      </w:r>
      <w:r w:rsidR="00F915E8" w:rsidRPr="00A973A2">
        <w:rPr>
          <w:rFonts w:hAnsi="標楷體" w:hint="eastAsia"/>
          <w:szCs w:val="32"/>
        </w:rPr>
        <w:t>西元</w:t>
      </w:r>
      <w:r w:rsidRPr="00A973A2">
        <w:rPr>
          <w:rFonts w:hAnsi="標楷體"/>
          <w:szCs w:val="32"/>
        </w:rPr>
        <w:t>1803</w:t>
      </w:r>
      <w:r w:rsidRPr="00A973A2">
        <w:rPr>
          <w:rFonts w:hAnsi="標楷體" w:hint="eastAsia"/>
          <w:szCs w:val="32"/>
        </w:rPr>
        <w:t>年透過</w:t>
      </w:r>
      <w:r w:rsidRPr="00A973A2">
        <w:rPr>
          <w:rFonts w:hAnsi="標楷體"/>
          <w:szCs w:val="32"/>
        </w:rPr>
        <w:t>Marbury V. Madison</w:t>
      </w:r>
      <w:r w:rsidRPr="00A973A2">
        <w:rPr>
          <w:rFonts w:hAnsi="標楷體" w:hint="eastAsia"/>
          <w:szCs w:val="32"/>
        </w:rPr>
        <w:t>案的裁判，以及其後一連串有關判決，透過「憲政慣例」所形成的制度；當時美國憲法條文並無明文規定，司法院大法官長年就監察權與司法權就聲請釋憲所形成之憲法程序慣例，司法院大法官得否於本件釋憲案加以變更</w:t>
      </w:r>
      <w:r w:rsidR="00927718" w:rsidRPr="00A973A2">
        <w:rPr>
          <w:rFonts w:hAnsi="標楷體" w:hint="eastAsia"/>
          <w:szCs w:val="32"/>
        </w:rPr>
        <w:t>程序</w:t>
      </w:r>
      <w:r w:rsidR="006B0772" w:rsidRPr="00A973A2">
        <w:rPr>
          <w:rFonts w:hAnsi="標楷體" w:hint="eastAsia"/>
          <w:szCs w:val="32"/>
        </w:rPr>
        <w:t>「遊戲規則」</w:t>
      </w:r>
      <w:r w:rsidRPr="00A973A2">
        <w:rPr>
          <w:rStyle w:val="aff"/>
          <w:rFonts w:hAnsi="標楷體"/>
          <w:szCs w:val="32"/>
        </w:rPr>
        <w:footnoteReference w:id="24"/>
      </w:r>
      <w:r w:rsidRPr="00A973A2">
        <w:rPr>
          <w:rFonts w:hAnsi="標楷體" w:hint="eastAsia"/>
          <w:szCs w:val="32"/>
        </w:rPr>
        <w:t>，如果可以，其憲法理由為何？</w:t>
      </w:r>
    </w:p>
    <w:p w:rsidR="00927718" w:rsidRPr="00A973A2" w:rsidRDefault="00927718" w:rsidP="00927718">
      <w:pPr>
        <w:pStyle w:val="3"/>
        <w:rPr>
          <w:rFonts w:hAnsi="標楷體"/>
          <w:szCs w:val="32"/>
        </w:rPr>
      </w:pPr>
      <w:r w:rsidRPr="00A973A2">
        <w:rPr>
          <w:rFonts w:hAnsi="標楷體" w:hint="eastAsia"/>
          <w:szCs w:val="32"/>
        </w:rPr>
        <w:t>司法院大法官審理案件法之制</w:t>
      </w:r>
      <w:r w:rsidR="008A077C" w:rsidRPr="00A973A2">
        <w:rPr>
          <w:rFonts w:hAnsi="標楷體" w:hint="eastAsia"/>
          <w:szCs w:val="32"/>
        </w:rPr>
        <w:t>定</w:t>
      </w:r>
      <w:r w:rsidRPr="00A973A2">
        <w:rPr>
          <w:rFonts w:hAnsi="標楷體" w:hint="eastAsia"/>
          <w:szCs w:val="32"/>
        </w:rPr>
        <w:t>、修正與解釋，可否漠視或限制監察院作為最高監察機關發見「法律與憲法有無牴觸發生疑義」咨請司法院大法官聲請解釋之空間，如果可以，其憲法理由為何？</w:t>
      </w:r>
    </w:p>
    <w:p w:rsidR="009D4561" w:rsidRPr="00A973A2" w:rsidRDefault="009D4561" w:rsidP="009D4561">
      <w:pPr>
        <w:pStyle w:val="3"/>
        <w:rPr>
          <w:rFonts w:hAnsi="標楷體"/>
          <w:szCs w:val="32"/>
        </w:rPr>
      </w:pPr>
      <w:r w:rsidRPr="00A973A2">
        <w:rPr>
          <w:rFonts w:hAnsi="標楷體" w:hint="eastAsia"/>
          <w:szCs w:val="32"/>
        </w:rPr>
        <w:t>監察院再度重申：司法院大法官受憲法保障，承擔釋憲職責，應對中華民國憲法機關之機關忠誠有基本信賴，監察院不會無緣無故以侵害其他憲法權力機關之核心職權為目的，而聲請釋憲。本件聲請所涉及之憲法機關違憲行為，或應僅視為僅是國家權力機關，因一時時空環境，為所謂「轉型正義」而為迷惘與困惑之舉，亦即在本件釋憲聲請書所稱：「回顧歷史，人類錯誤多在愚昧中不斷重複發生，採用違法手段追求正義，正義不因而會實現……追尋符合自然法的實質正義，是每一個法律工作者忠誠於法律女神的天職，黑格爾曾說，國家是道德理念的現實─即作為顯現可見與明白的實體性意志之道德精神，這道德精神思索自身並知道自身，做為國家的構成員自有義務，探索此『道德精神』」。當釋憲機關一旦對於憲法意旨有所闡明，各受拘束之當事人（憲法機關）及各利害關係人與國民，當會相信司法院大法官具有共同真誠維護憲法之意願，並會對於司法院大法官充滿深深敬意與理解，亦將有利於鞏固司法權威信，提升國民全體對司法院大法官信賴感，</w:t>
      </w:r>
      <w:r w:rsidR="006D0BE8" w:rsidRPr="00A973A2">
        <w:rPr>
          <w:rFonts w:hAnsi="標楷體" w:hint="eastAsia"/>
          <w:szCs w:val="32"/>
        </w:rPr>
        <w:t>對</w:t>
      </w:r>
      <w:r w:rsidRPr="00A973A2">
        <w:rPr>
          <w:rFonts w:hAnsi="標楷體" w:hint="eastAsia"/>
          <w:szCs w:val="32"/>
        </w:rPr>
        <w:t>我國民主政治賡續與進化實具有劃時代之重大憲政意義。</w:t>
      </w:r>
    </w:p>
    <w:p w:rsidR="00F915E8" w:rsidRPr="00A973A2" w:rsidRDefault="00F82543" w:rsidP="00F82543">
      <w:r w:rsidRPr="00A973A2">
        <w:rPr>
          <w:noProof/>
        </w:rPr>
        <w:drawing>
          <wp:inline distT="0" distB="0" distL="0" distR="0" wp14:anchorId="01ED661F" wp14:editId="0B737161">
            <wp:extent cx="5486400" cy="3308350"/>
            <wp:effectExtent l="0" t="0" r="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86400" cy="3308350"/>
                    </a:xfrm>
                    <a:prstGeom prst="rect">
                      <a:avLst/>
                    </a:prstGeom>
                  </pic:spPr>
                </pic:pic>
              </a:graphicData>
            </a:graphic>
          </wp:inline>
        </w:drawing>
      </w:r>
    </w:p>
    <w:p w:rsidR="00F82543" w:rsidRPr="00A973A2" w:rsidRDefault="00F82543" w:rsidP="00F82543">
      <w:pPr>
        <w:pStyle w:val="a1"/>
      </w:pPr>
      <w:r w:rsidRPr="00A973A2">
        <w:rPr>
          <w:rFonts w:hint="eastAsia"/>
        </w:rPr>
        <w:t>本件聲請受理與否對權力分立之意涵</w:t>
      </w:r>
    </w:p>
    <w:p w:rsidR="0022756F" w:rsidRPr="00A973A2" w:rsidRDefault="009D4561" w:rsidP="009D4561">
      <w:pPr>
        <w:pStyle w:val="1"/>
        <w:rPr>
          <w:rFonts w:hAnsi="標楷體"/>
          <w:b/>
          <w:szCs w:val="32"/>
        </w:rPr>
      </w:pPr>
      <w:r w:rsidRPr="00A973A2">
        <w:rPr>
          <w:rFonts w:hAnsi="標楷體" w:hint="eastAsia"/>
          <w:b/>
          <w:szCs w:val="32"/>
        </w:rPr>
        <w:t>監察院就各方所提司法院大法官應為不受理之回應</w:t>
      </w:r>
    </w:p>
    <w:p w:rsidR="00331BF9" w:rsidRPr="00A973A2" w:rsidRDefault="00331BF9" w:rsidP="00331BF9">
      <w:pPr>
        <w:pStyle w:val="10"/>
        <w:ind w:left="680" w:firstLine="680"/>
        <w:rPr>
          <w:rFonts w:hAnsi="標楷體"/>
        </w:rPr>
      </w:pPr>
      <w:r w:rsidRPr="00A973A2">
        <w:rPr>
          <w:rFonts w:hAnsi="標楷體" w:hint="eastAsia"/>
        </w:rPr>
        <w:t>司法院大法官於本件公開說明會，從未將相關機關與六位學者之論點</w:t>
      </w:r>
      <w:r w:rsidR="006D0BE8" w:rsidRPr="00A973A2">
        <w:rPr>
          <w:rFonts w:hAnsi="標楷體" w:hint="eastAsia"/>
        </w:rPr>
        <w:t>影</w:t>
      </w:r>
      <w:r w:rsidR="00CD3D89" w:rsidRPr="00A973A2">
        <w:rPr>
          <w:rFonts w:hAnsi="標楷體" w:hint="eastAsia"/>
        </w:rPr>
        <w:t>附</w:t>
      </w:r>
      <w:r w:rsidRPr="00A973A2">
        <w:rPr>
          <w:rFonts w:hAnsi="標楷體" w:hint="eastAsia"/>
        </w:rPr>
        <w:t>過院，故監察院無從就相關論點</w:t>
      </w:r>
      <w:r w:rsidR="00CD3D89" w:rsidRPr="00A973A2">
        <w:rPr>
          <w:rFonts w:hAnsi="標楷體" w:hint="eastAsia"/>
        </w:rPr>
        <w:t>提供</w:t>
      </w:r>
      <w:r w:rsidRPr="00A973A2">
        <w:rPr>
          <w:rFonts w:hAnsi="標楷體" w:hint="eastAsia"/>
        </w:rPr>
        <w:t>完整</w:t>
      </w:r>
      <w:r w:rsidR="007F356A" w:rsidRPr="00A973A2">
        <w:rPr>
          <w:rFonts w:hAnsi="標楷體" w:hint="eastAsia"/>
        </w:rPr>
        <w:t>充分</w:t>
      </w:r>
      <w:r w:rsidRPr="00A973A2">
        <w:rPr>
          <w:rFonts w:hAnsi="標楷體" w:hint="eastAsia"/>
        </w:rPr>
        <w:t>論述</w:t>
      </w:r>
      <w:r w:rsidR="00C622DC" w:rsidRPr="00A973A2">
        <w:rPr>
          <w:rFonts w:hAnsi="標楷體" w:hint="eastAsia"/>
        </w:rPr>
        <w:t>，</w:t>
      </w:r>
      <w:r w:rsidR="006B138F" w:rsidRPr="00A973A2">
        <w:rPr>
          <w:rFonts w:hAnsi="標楷體" w:hint="eastAsia"/>
        </w:rPr>
        <w:t>若有論辯不足或誤解之處，不宜</w:t>
      </w:r>
      <w:r w:rsidR="00F92AB0" w:rsidRPr="00A973A2">
        <w:rPr>
          <w:rFonts w:hAnsi="標楷體" w:hint="eastAsia"/>
        </w:rPr>
        <w:t>歸咎監察院。</w:t>
      </w:r>
    </w:p>
    <w:p w:rsidR="00834BDA" w:rsidRPr="00A973A2" w:rsidRDefault="00C76D60" w:rsidP="00CD3D89">
      <w:pPr>
        <w:pStyle w:val="2"/>
      </w:pPr>
      <w:r w:rsidRPr="00A973A2">
        <w:rPr>
          <w:rFonts w:hint="eastAsia"/>
        </w:rPr>
        <w:t>有認為</w:t>
      </w:r>
      <w:r w:rsidR="00834BDA" w:rsidRPr="00A973A2">
        <w:rPr>
          <w:rFonts w:hint="eastAsia"/>
        </w:rPr>
        <w:t>「中央或地方機關於行使職權，適用憲法發生疑義，或適用法令或命令，發生有牴觸憲法之疑義者，得向司法院大法官聲請釋憲。</w:t>
      </w:r>
      <w:r w:rsidR="00601E7F" w:rsidRPr="00A973A2">
        <w:rPr>
          <w:rFonts w:hint="eastAsia"/>
          <w:b/>
        </w:rPr>
        <w:t>但監察院在行使監察調查權時，並非黨產條例</w:t>
      </w:r>
      <w:r w:rsidRPr="00A973A2">
        <w:rPr>
          <w:rFonts w:hint="eastAsia"/>
          <w:b/>
        </w:rPr>
        <w:t>之狹義主管機關</w:t>
      </w:r>
      <w:r w:rsidRPr="00A973A2">
        <w:rPr>
          <w:rFonts w:hint="eastAsia"/>
        </w:rPr>
        <w:t>，本件</w:t>
      </w:r>
      <w:r w:rsidR="00834BDA" w:rsidRPr="00A973A2">
        <w:rPr>
          <w:rFonts w:hint="eastAsia"/>
        </w:rPr>
        <w:t>釋憲</w:t>
      </w:r>
      <w:r w:rsidR="00246B23" w:rsidRPr="00A973A2">
        <w:rPr>
          <w:rFonts w:hint="eastAsia"/>
        </w:rPr>
        <w:t>所行使之調查權</w:t>
      </w:r>
      <w:r w:rsidR="00834BDA" w:rsidRPr="00A973A2">
        <w:rPr>
          <w:rFonts w:hint="eastAsia"/>
        </w:rPr>
        <w:t>，和監察委員行使糾正、糾舉、彈劾權，</w:t>
      </w:r>
      <w:r w:rsidRPr="00A973A2">
        <w:rPr>
          <w:rFonts w:hint="eastAsia"/>
        </w:rPr>
        <w:t>並無</w:t>
      </w:r>
      <w:r w:rsidR="00834BDA" w:rsidRPr="00A973A2">
        <w:rPr>
          <w:rFonts w:hint="eastAsia"/>
        </w:rPr>
        <w:t>直接關係，而</w:t>
      </w:r>
      <w:r w:rsidRPr="00A973A2">
        <w:rPr>
          <w:rFonts w:hint="eastAsia"/>
        </w:rPr>
        <w:t>應不受理</w:t>
      </w:r>
      <w:r w:rsidR="00834BDA" w:rsidRPr="00A973A2">
        <w:rPr>
          <w:rFonts w:hint="eastAsia"/>
        </w:rPr>
        <w:t>」</w:t>
      </w:r>
      <w:r w:rsidRPr="00A973A2">
        <w:rPr>
          <w:rFonts w:hint="eastAsia"/>
        </w:rPr>
        <w:t>之論點</w:t>
      </w:r>
      <w:r w:rsidR="00F915E8" w:rsidRPr="00A973A2">
        <w:rPr>
          <w:rFonts w:hint="eastAsia"/>
        </w:rPr>
        <w:t>。</w:t>
      </w:r>
      <w:r w:rsidR="00601E7F" w:rsidRPr="00A973A2">
        <w:rPr>
          <w:rFonts w:hint="eastAsia"/>
        </w:rPr>
        <w:t>首先，調查權行使，係作為監察工作之核心職權，並非僅為工具性權力，在我國五權憲法結構下，與其他各權相較，明定於憲法第95條與第96條，具有特別意義，不得因釋字第375條之反面解釋，而否定調查權該當於司法院大法官審理案件法第5條第1項第1款所稱之行使職權，其所提係屬姚瑞光大法官少數意見，並非憲政</w:t>
      </w:r>
      <w:r w:rsidR="00F915E8" w:rsidRPr="00A973A2">
        <w:rPr>
          <w:rFonts w:hint="eastAsia"/>
        </w:rPr>
        <w:t>慣例</w:t>
      </w:r>
      <w:r w:rsidR="0067109A" w:rsidRPr="00A973A2">
        <w:rPr>
          <w:rFonts w:hint="eastAsia"/>
        </w:rPr>
        <w:t>，</w:t>
      </w:r>
      <w:r w:rsidR="00601E7F" w:rsidRPr="00A973A2">
        <w:rPr>
          <w:rFonts w:hint="eastAsia"/>
        </w:rPr>
        <w:t>業如前述；又有關監察權之內容包括憲法所列舉之各規定，其實質認定範圍應為監察權之核心事項，</w:t>
      </w:r>
      <w:r w:rsidR="00601E7F" w:rsidRPr="00A973A2">
        <w:rPr>
          <w:rFonts w:hint="eastAsia"/>
          <w:b/>
        </w:rPr>
        <w:t>不宜由其他權力機關決定範圍，否則</w:t>
      </w:r>
      <w:r w:rsidR="0067109A" w:rsidRPr="00A973A2">
        <w:rPr>
          <w:rFonts w:hint="eastAsia"/>
          <w:b/>
        </w:rPr>
        <w:t>將其</w:t>
      </w:r>
      <w:r w:rsidR="00601E7F" w:rsidRPr="00A973A2">
        <w:rPr>
          <w:rFonts w:hint="eastAsia"/>
          <w:b/>
        </w:rPr>
        <w:t>限定於憲法第90條所定之彈劾、糾舉及審計權，透過該條反對解釋，豈非更為了事</w:t>
      </w:r>
      <w:r w:rsidR="00470FBF" w:rsidRPr="00A973A2">
        <w:rPr>
          <w:rFonts w:hint="eastAsia"/>
          <w:b/>
        </w:rPr>
        <w:t>，質言之就司法權而言，憲法第77條規定：「司法院為國家最高司法機關，掌理民事、刑事、行政訴訟之審判，及公務員之懲戒。</w:t>
      </w:r>
      <w:r w:rsidR="00CC41C1" w:rsidRPr="00A973A2">
        <w:rPr>
          <w:rFonts w:hint="eastAsia"/>
          <w:b/>
        </w:rPr>
        <w:t>」而憲法解釋之</w:t>
      </w:r>
      <w:r w:rsidR="00470FBF" w:rsidRPr="00A973A2">
        <w:rPr>
          <w:rFonts w:hint="eastAsia"/>
          <w:b/>
        </w:rPr>
        <w:t>規定</w:t>
      </w:r>
      <w:r w:rsidR="00CC41C1" w:rsidRPr="00A973A2">
        <w:rPr>
          <w:rFonts w:hint="eastAsia"/>
          <w:b/>
        </w:rPr>
        <w:t>於憲法第171條與第173條，可以說違憲審查非行使司法權嗎</w:t>
      </w:r>
      <w:r w:rsidR="00601E7F" w:rsidRPr="00A973A2">
        <w:rPr>
          <w:rFonts w:hint="eastAsia"/>
        </w:rPr>
        <w:t>；再者，</w:t>
      </w:r>
      <w:r w:rsidR="006326E0" w:rsidRPr="00A973A2">
        <w:rPr>
          <w:rFonts w:hint="eastAsia"/>
        </w:rPr>
        <w:t>退萬步言</w:t>
      </w:r>
      <w:r w:rsidR="0067109A" w:rsidRPr="00A973A2">
        <w:rPr>
          <w:rFonts w:hint="eastAsia"/>
        </w:rPr>
        <w:t>，依照</w:t>
      </w:r>
      <w:r w:rsidR="00246B23" w:rsidRPr="00A973A2">
        <w:rPr>
          <w:rFonts w:hint="eastAsia"/>
        </w:rPr>
        <w:t>「本件釋憲所行使之調查權，和監察委員行使糾正、糾舉、彈劾權，</w:t>
      </w:r>
      <w:r w:rsidR="00246B23" w:rsidRPr="00A973A2">
        <w:rPr>
          <w:rFonts w:hint="eastAsia"/>
          <w:u w:val="single"/>
        </w:rPr>
        <w:t>並無直接關係</w:t>
      </w:r>
      <w:r w:rsidR="00246B23" w:rsidRPr="00A973A2">
        <w:rPr>
          <w:rFonts w:hint="eastAsia"/>
        </w:rPr>
        <w:t>，而應不受理。」</w:t>
      </w:r>
      <w:r w:rsidR="006326E0" w:rsidRPr="00A973A2">
        <w:rPr>
          <w:rFonts w:hint="eastAsia"/>
        </w:rPr>
        <w:t>之命題，然</w:t>
      </w:r>
      <w:r w:rsidR="00246B23" w:rsidRPr="00A973A2">
        <w:rPr>
          <w:rFonts w:hint="eastAsia"/>
        </w:rPr>
        <w:t>其</w:t>
      </w:r>
      <w:r w:rsidR="006326E0" w:rsidRPr="00A973A2">
        <w:rPr>
          <w:rFonts w:hint="eastAsia"/>
        </w:rPr>
        <w:t>所稱之</w:t>
      </w:r>
      <w:r w:rsidR="00246B23" w:rsidRPr="00A973A2">
        <w:rPr>
          <w:rFonts w:hint="eastAsia"/>
        </w:rPr>
        <w:t>直接關係所指為何，其命題在邏輯上意義不明？</w:t>
      </w:r>
      <w:r w:rsidR="00246B23" w:rsidRPr="00A973A2">
        <w:rPr>
          <w:rFonts w:hint="eastAsia"/>
          <w:b/>
        </w:rPr>
        <w:t>先以邏輯思考做命題假設，將「行使調查權」以符號</w:t>
      </w:r>
      <w:r w:rsidR="006326E0" w:rsidRPr="00A973A2">
        <w:rPr>
          <w:rFonts w:hint="eastAsia"/>
          <w:b/>
        </w:rPr>
        <w:t>P</w:t>
      </w:r>
      <w:r w:rsidR="00246B23" w:rsidRPr="00A973A2">
        <w:rPr>
          <w:rFonts w:hint="eastAsia"/>
          <w:b/>
        </w:rPr>
        <w:t>表示，而將「行使糾正、糾舉、彈劾權」</w:t>
      </w:r>
      <w:r w:rsidR="006326E0" w:rsidRPr="00A973A2">
        <w:rPr>
          <w:rFonts w:hint="eastAsia"/>
          <w:b/>
        </w:rPr>
        <w:t>Q</w:t>
      </w:r>
      <w:r w:rsidR="00246B23" w:rsidRPr="00A973A2">
        <w:rPr>
          <w:rFonts w:hint="eastAsia"/>
          <w:b/>
        </w:rPr>
        <w:t>表示，如前揭所述，行使之調查權是否必然糾正、彈劾與糾舉，</w:t>
      </w:r>
      <w:r w:rsidR="006326E0" w:rsidRPr="00A973A2">
        <w:rPr>
          <w:rFonts w:hint="eastAsia"/>
          <w:b/>
        </w:rPr>
        <w:t>應視其他權力就該調查報告之合作或衝突或基於</w:t>
      </w:r>
      <w:r w:rsidR="001A0AEA" w:rsidRPr="00A973A2">
        <w:rPr>
          <w:rFonts w:hint="eastAsia"/>
          <w:b/>
        </w:rPr>
        <w:t>監察權合議決定</w:t>
      </w:r>
      <w:r w:rsidR="006326E0" w:rsidRPr="00A973A2">
        <w:rPr>
          <w:rFonts w:hint="eastAsia"/>
          <w:b/>
        </w:rPr>
        <w:t>情形，並依據</w:t>
      </w:r>
      <w:r w:rsidR="001A0AEA" w:rsidRPr="00A973A2">
        <w:rPr>
          <w:rFonts w:hint="eastAsia"/>
          <w:b/>
        </w:rPr>
        <w:t>憲法所定之法定要件與行政權對於監察權之態度而定</w:t>
      </w:r>
      <w:r w:rsidR="006326E0" w:rsidRPr="00A973A2">
        <w:rPr>
          <w:rFonts w:hint="eastAsia"/>
          <w:b/>
        </w:rPr>
        <w:t>，則P</w:t>
      </w:r>
      <w:r w:rsidR="006326E0" w:rsidRPr="00A973A2">
        <w:rPr>
          <w:rFonts w:ascii="MS Mincho" w:eastAsia="MS Mincho" w:hAnsi="MS Mincho" w:cs="MS Mincho" w:hint="eastAsia"/>
          <w:b/>
        </w:rPr>
        <w:t>⇒</w:t>
      </w:r>
      <w:r w:rsidR="006326E0" w:rsidRPr="00A973A2">
        <w:rPr>
          <w:rFonts w:hint="eastAsia"/>
          <w:b/>
        </w:rPr>
        <w:t>Q不成立，則P（行使調查權）並非</w:t>
      </w:r>
      <w:r w:rsidR="006326E0" w:rsidRPr="00A973A2">
        <w:rPr>
          <w:b/>
        </w:rPr>
        <w:t>Q</w:t>
      </w:r>
      <w:r w:rsidR="006326E0" w:rsidRPr="00A973A2">
        <w:rPr>
          <w:rFonts w:hint="eastAsia"/>
          <w:b/>
        </w:rPr>
        <w:t>（行使糾正、糾舉、彈劾權）之充分條件</w:t>
      </w:r>
      <w:r w:rsidR="00C64130" w:rsidRPr="00A973A2">
        <w:rPr>
          <w:rFonts w:hint="eastAsia"/>
          <w:b/>
        </w:rPr>
        <w:t>，亦即行使調查權並非</w:t>
      </w:r>
      <w:r w:rsidR="00F61879" w:rsidRPr="00A973A2">
        <w:rPr>
          <w:rFonts w:hint="eastAsia"/>
          <w:b/>
        </w:rPr>
        <w:t>行使</w:t>
      </w:r>
      <w:r w:rsidR="00C64130" w:rsidRPr="00A973A2">
        <w:rPr>
          <w:rFonts w:hint="eastAsia"/>
          <w:b/>
        </w:rPr>
        <w:t>彈劾權等之充分條件</w:t>
      </w:r>
      <w:r w:rsidR="006326E0" w:rsidRPr="00A973A2">
        <w:rPr>
          <w:rFonts w:hint="eastAsia"/>
          <w:b/>
        </w:rPr>
        <w:t>，然而基於辯證法將主客觀顛倒、Q</w:t>
      </w:r>
      <w:r w:rsidR="006326E0" w:rsidRPr="00A973A2">
        <w:rPr>
          <w:rFonts w:ascii="MS Mincho" w:eastAsia="MS Mincho" w:hAnsi="MS Mincho" w:cs="MS Mincho" w:hint="eastAsia"/>
          <w:b/>
        </w:rPr>
        <w:t>⇒</w:t>
      </w:r>
      <w:r w:rsidR="006326E0" w:rsidRPr="00A973A2">
        <w:rPr>
          <w:rFonts w:hint="eastAsia"/>
          <w:b/>
        </w:rPr>
        <w:t>P</w:t>
      </w:r>
      <w:r w:rsidR="00C64130" w:rsidRPr="00A973A2">
        <w:rPr>
          <w:rFonts w:hint="eastAsia"/>
          <w:b/>
        </w:rPr>
        <w:t>成立</w:t>
      </w:r>
      <w:r w:rsidR="006326E0" w:rsidRPr="00A973A2">
        <w:rPr>
          <w:rFonts w:hint="eastAsia"/>
          <w:b/>
        </w:rPr>
        <w:t>，</w:t>
      </w:r>
      <w:r w:rsidR="00C64130" w:rsidRPr="00A973A2">
        <w:rPr>
          <w:rFonts w:hint="eastAsia"/>
          <w:b/>
        </w:rPr>
        <w:t>則行使調查權是行使糾正等權之必要條件，故兩者之間</w:t>
      </w:r>
      <w:r w:rsidR="0067109A" w:rsidRPr="00A973A2">
        <w:rPr>
          <w:rFonts w:hint="eastAsia"/>
          <w:b/>
        </w:rPr>
        <w:t>並不互為「充分必要</w:t>
      </w:r>
      <w:r w:rsidR="00C64130" w:rsidRPr="00A973A2">
        <w:rPr>
          <w:rFonts w:hint="eastAsia"/>
          <w:b/>
        </w:rPr>
        <w:t>條件</w:t>
      </w:r>
      <w:r w:rsidR="0067109A" w:rsidRPr="00A973A2">
        <w:rPr>
          <w:rFonts w:hint="eastAsia"/>
          <w:b/>
        </w:rPr>
        <w:t>」</w:t>
      </w:r>
      <w:r w:rsidR="00C64130" w:rsidRPr="00A973A2">
        <w:rPr>
          <w:rFonts w:hint="eastAsia"/>
          <w:b/>
        </w:rPr>
        <w:t>；再者使用否證，</w:t>
      </w:r>
      <w:r w:rsidR="00C64130" w:rsidRPr="00A973A2">
        <w:rPr>
          <w:b/>
        </w:rPr>
        <w:t>~P</w:t>
      </w:r>
      <w:r w:rsidR="00C64130" w:rsidRPr="00A973A2">
        <w:rPr>
          <w:rFonts w:ascii="MS Mincho" w:eastAsia="MS Mincho" w:hAnsi="MS Mincho" w:cs="MS Mincho" w:hint="eastAsia"/>
          <w:b/>
        </w:rPr>
        <w:t>⇒</w:t>
      </w:r>
      <w:r w:rsidR="00C64130" w:rsidRPr="00A973A2">
        <w:rPr>
          <w:rFonts w:cs="MS Gothic"/>
          <w:b/>
        </w:rPr>
        <w:t>~</w:t>
      </w:r>
      <w:r w:rsidR="00C64130" w:rsidRPr="00A973A2">
        <w:rPr>
          <w:b/>
        </w:rPr>
        <w:t>Q</w:t>
      </w:r>
      <w:r w:rsidR="00C64130" w:rsidRPr="00A973A2">
        <w:rPr>
          <w:rFonts w:hint="eastAsia"/>
          <w:b/>
        </w:rPr>
        <w:t>成立則</w:t>
      </w:r>
      <w:r w:rsidR="00C64130" w:rsidRPr="00A973A2">
        <w:rPr>
          <w:b/>
        </w:rPr>
        <w:t>Q</w:t>
      </w:r>
      <w:r w:rsidR="00C64130" w:rsidRPr="00A973A2">
        <w:rPr>
          <w:rFonts w:ascii="MS Mincho" w:eastAsia="MS Mincho" w:hAnsi="MS Mincho" w:cs="MS Mincho" w:hint="eastAsia"/>
          <w:b/>
        </w:rPr>
        <w:t>⇒</w:t>
      </w:r>
      <w:r w:rsidR="00C64130" w:rsidRPr="00A973A2">
        <w:rPr>
          <w:b/>
        </w:rPr>
        <w:t>P</w:t>
      </w:r>
      <w:r w:rsidR="00C64130" w:rsidRPr="00A973A2">
        <w:rPr>
          <w:rFonts w:hint="eastAsia"/>
          <w:b/>
        </w:rPr>
        <w:t>為真，</w:t>
      </w:r>
      <w:r w:rsidR="00C64130" w:rsidRPr="00A973A2">
        <w:rPr>
          <w:b/>
        </w:rPr>
        <w:t>~</w:t>
      </w:r>
      <w:r w:rsidR="00C64130" w:rsidRPr="00A973A2">
        <w:rPr>
          <w:rFonts w:hint="eastAsia"/>
          <w:b/>
        </w:rPr>
        <w:t>Q</w:t>
      </w:r>
      <w:r w:rsidR="00C64130" w:rsidRPr="00A973A2">
        <w:rPr>
          <w:rFonts w:ascii="MS Mincho" w:eastAsia="MS Mincho" w:hAnsi="MS Mincho" w:cs="MS Mincho" w:hint="eastAsia"/>
          <w:b/>
        </w:rPr>
        <w:t>⇒</w:t>
      </w:r>
      <w:r w:rsidR="00C64130" w:rsidRPr="00A973A2">
        <w:rPr>
          <w:b/>
        </w:rPr>
        <w:t>~</w:t>
      </w:r>
      <w:r w:rsidR="00C64130" w:rsidRPr="00A973A2">
        <w:rPr>
          <w:rFonts w:hint="eastAsia"/>
          <w:b/>
        </w:rPr>
        <w:t>P不成立則</w:t>
      </w:r>
      <w:r w:rsidR="0067109A" w:rsidRPr="00A973A2">
        <w:rPr>
          <w:b/>
        </w:rPr>
        <w:t>P</w:t>
      </w:r>
      <w:r w:rsidR="0067109A" w:rsidRPr="00A973A2">
        <w:rPr>
          <w:rFonts w:ascii="MS Mincho" w:eastAsia="MS Mincho" w:hAnsi="MS Mincho" w:cs="MS Mincho" w:hint="eastAsia"/>
          <w:b/>
        </w:rPr>
        <w:t>⇒</w:t>
      </w:r>
      <w:r w:rsidR="0067109A" w:rsidRPr="00A973A2">
        <w:rPr>
          <w:b/>
        </w:rPr>
        <w:t>Q</w:t>
      </w:r>
      <w:r w:rsidR="0067109A" w:rsidRPr="00A973A2">
        <w:rPr>
          <w:rFonts w:hint="eastAsia"/>
          <w:b/>
        </w:rPr>
        <w:t>不成立為真，亦即行使調查權係作為行使糾正、糾舉、彈劾權之</w:t>
      </w:r>
      <w:r w:rsidR="00C555AB" w:rsidRPr="00A973A2">
        <w:rPr>
          <w:rFonts w:hint="eastAsia"/>
          <w:b/>
        </w:rPr>
        <w:t>必要</w:t>
      </w:r>
      <w:r w:rsidR="0067109A" w:rsidRPr="00A973A2">
        <w:rPr>
          <w:rFonts w:hint="eastAsia"/>
          <w:b/>
        </w:rPr>
        <w:t>條件，而非</w:t>
      </w:r>
      <w:r w:rsidR="00C555AB" w:rsidRPr="00A973A2">
        <w:rPr>
          <w:rFonts w:hint="eastAsia"/>
          <w:b/>
        </w:rPr>
        <w:t>充分</w:t>
      </w:r>
      <w:r w:rsidR="0067109A" w:rsidRPr="00A973A2">
        <w:rPr>
          <w:rFonts w:hint="eastAsia"/>
          <w:b/>
        </w:rPr>
        <w:t>條件</w:t>
      </w:r>
      <w:r w:rsidR="00F61879" w:rsidRPr="00A973A2">
        <w:rPr>
          <w:rFonts w:hint="eastAsia"/>
          <w:b/>
        </w:rPr>
        <w:t>為真</w:t>
      </w:r>
      <w:r w:rsidR="0067109A" w:rsidRPr="00A973A2">
        <w:rPr>
          <w:rFonts w:hint="eastAsia"/>
          <w:b/>
        </w:rPr>
        <w:t>，如果</w:t>
      </w:r>
      <w:r w:rsidR="00F61879" w:rsidRPr="00A973A2">
        <w:rPr>
          <w:rFonts w:hint="eastAsia"/>
          <w:b/>
        </w:rPr>
        <w:t>本問題之</w:t>
      </w:r>
      <w:r w:rsidR="0067109A" w:rsidRPr="00A973A2">
        <w:rPr>
          <w:rFonts w:hint="eastAsia"/>
          <w:b/>
        </w:rPr>
        <w:t>「直接關係」係指充分必要條件，則該問題之命題錯誤，不會有任何國家行為從開始到結束之所有行為，互為充分必要條件，舉例而言，從刑事訴訟程序</w:t>
      </w:r>
      <w:r w:rsidR="00F23641" w:rsidRPr="00A973A2">
        <w:rPr>
          <w:rFonts w:hint="eastAsia"/>
          <w:b/>
        </w:rPr>
        <w:t>包含</w:t>
      </w:r>
      <w:r w:rsidR="0067109A" w:rsidRPr="00A973A2">
        <w:rPr>
          <w:rFonts w:hint="eastAsia"/>
          <w:b/>
        </w:rPr>
        <w:t>「偵查」「起訴」「審判」「執行」</w:t>
      </w:r>
      <w:r w:rsidR="00F915E8" w:rsidRPr="00A973A2">
        <w:rPr>
          <w:rFonts w:hint="eastAsia"/>
          <w:b/>
        </w:rPr>
        <w:t>，</w:t>
      </w:r>
      <w:r w:rsidR="0067109A" w:rsidRPr="00A973A2">
        <w:rPr>
          <w:rFonts w:hint="eastAsia"/>
          <w:b/>
        </w:rPr>
        <w:t>偵查為所有其後階段之必要條件</w:t>
      </w:r>
      <w:r w:rsidR="00CF660D" w:rsidRPr="00A973A2">
        <w:rPr>
          <w:rFonts w:hint="eastAsia"/>
          <w:b/>
        </w:rPr>
        <w:t>，但非充分條件，司法院大法官可以要求</w:t>
      </w:r>
      <w:r w:rsidR="00C555AB" w:rsidRPr="00A973A2">
        <w:rPr>
          <w:rFonts w:hint="eastAsia"/>
          <w:b/>
        </w:rPr>
        <w:t>檢察官</w:t>
      </w:r>
      <w:r w:rsidR="00CF660D" w:rsidRPr="00A973A2">
        <w:rPr>
          <w:rFonts w:hint="eastAsia"/>
          <w:b/>
        </w:rPr>
        <w:t>偵查時，必然要起訴嗎</w:t>
      </w:r>
      <w:r w:rsidR="00C555AB" w:rsidRPr="00A973A2">
        <w:rPr>
          <w:rFonts w:hint="eastAsia"/>
          <w:b/>
        </w:rPr>
        <w:t>，否則偵查不算行使職權</w:t>
      </w:r>
      <w:r w:rsidR="00CF660D" w:rsidRPr="00A973A2">
        <w:rPr>
          <w:rFonts w:hint="eastAsia"/>
          <w:b/>
        </w:rPr>
        <w:t>？豈非</w:t>
      </w:r>
      <w:r w:rsidR="00C555AB" w:rsidRPr="00A973A2">
        <w:rPr>
          <w:rFonts w:hint="eastAsia"/>
          <w:b/>
        </w:rPr>
        <w:t>逼檢察官</w:t>
      </w:r>
      <w:r w:rsidR="00CF660D" w:rsidRPr="00A973A2">
        <w:rPr>
          <w:rFonts w:hint="eastAsia"/>
          <w:b/>
        </w:rPr>
        <w:t>陷人於罪，同理，司法院大法官可以要求監察院行使調查權時，必然要表彰或擔保未來一定要行使糾正、糾舉、彈劾權</w:t>
      </w:r>
      <w:r w:rsidR="00C555AB" w:rsidRPr="00A973A2">
        <w:rPr>
          <w:rFonts w:hint="eastAsia"/>
          <w:b/>
        </w:rPr>
        <w:t>之關連性</w:t>
      </w:r>
      <w:r w:rsidR="00CF660D" w:rsidRPr="00A973A2">
        <w:rPr>
          <w:rFonts w:hint="eastAsia"/>
          <w:b/>
        </w:rPr>
        <w:t>，否則不能提起釋憲嗎，</w:t>
      </w:r>
      <w:r w:rsidR="00F61879" w:rsidRPr="00A973A2">
        <w:rPr>
          <w:rFonts w:hint="eastAsia"/>
          <w:b/>
        </w:rPr>
        <w:t>因為未表彰關連性</w:t>
      </w:r>
      <w:r w:rsidR="008052E3" w:rsidRPr="00A973A2">
        <w:rPr>
          <w:rFonts w:hint="eastAsia"/>
          <w:b/>
        </w:rPr>
        <w:t>，</w:t>
      </w:r>
      <w:r w:rsidR="00F61879" w:rsidRPr="00A973A2">
        <w:rPr>
          <w:rFonts w:hint="eastAsia"/>
          <w:b/>
        </w:rPr>
        <w:t>則行使調查權並非行使職權，</w:t>
      </w:r>
      <w:r w:rsidR="00CF660D" w:rsidRPr="00A973A2">
        <w:rPr>
          <w:b/>
        </w:rPr>
        <w:t>Q</w:t>
      </w:r>
      <w:r w:rsidR="00CF660D" w:rsidRPr="00A973A2">
        <w:rPr>
          <w:rFonts w:hint="eastAsia"/>
          <w:b/>
        </w:rPr>
        <w:t>的其他必要條件</w:t>
      </w:r>
      <w:r w:rsidR="00F23641" w:rsidRPr="00A973A2">
        <w:rPr>
          <w:rFonts w:hint="eastAsia"/>
          <w:b/>
        </w:rPr>
        <w:t>P</w:t>
      </w:r>
      <w:r w:rsidR="00F23641" w:rsidRPr="00A973A2">
        <w:rPr>
          <w:b/>
        </w:rPr>
        <w:t>’</w:t>
      </w:r>
      <w:r w:rsidR="00CF660D" w:rsidRPr="00A973A2">
        <w:rPr>
          <w:rFonts w:hint="eastAsia"/>
          <w:b/>
        </w:rPr>
        <w:t>，難道</w:t>
      </w:r>
      <w:r w:rsidR="00F61879" w:rsidRPr="00A973A2">
        <w:rPr>
          <w:rFonts w:hint="eastAsia"/>
          <w:b/>
        </w:rPr>
        <w:t>是</w:t>
      </w:r>
      <w:r w:rsidR="00CF660D" w:rsidRPr="00A973A2">
        <w:rPr>
          <w:rFonts w:hint="eastAsia"/>
          <w:b/>
        </w:rPr>
        <w:t>由司法院大法官所補充嗎</w:t>
      </w:r>
      <w:r w:rsidR="00C555AB" w:rsidRPr="00A973A2">
        <w:rPr>
          <w:rFonts w:hint="eastAsia"/>
          <w:b/>
        </w:rPr>
        <w:t>，難道不是監察權核心事項嗎</w:t>
      </w:r>
      <w:r w:rsidR="00CF660D" w:rsidRPr="00A973A2">
        <w:rPr>
          <w:rFonts w:hint="eastAsia"/>
          <w:b/>
        </w:rPr>
        <w:t>？</w:t>
      </w:r>
      <w:r w:rsidR="00CF660D" w:rsidRPr="00A973A2">
        <w:rPr>
          <w:rFonts w:hint="eastAsia"/>
        </w:rPr>
        <w:t>若如此，憲法有關彈劾權、糾正權與糾舉權規定與監察法均可廢除，反正未來只要以行使調查權事項聲請釋憲時，監察院</w:t>
      </w:r>
      <w:r w:rsidR="00C555AB" w:rsidRPr="00A973A2">
        <w:rPr>
          <w:rFonts w:hint="eastAsia"/>
        </w:rPr>
        <w:t>必須聽命大法官就</w:t>
      </w:r>
      <w:r w:rsidR="00CF660D" w:rsidRPr="00A973A2">
        <w:rPr>
          <w:rFonts w:hint="eastAsia"/>
        </w:rPr>
        <w:t>行使糾正、糾舉、彈劾權</w:t>
      </w:r>
      <w:r w:rsidR="00C555AB" w:rsidRPr="00A973A2">
        <w:rPr>
          <w:rFonts w:hint="eastAsia"/>
        </w:rPr>
        <w:t>關連性</w:t>
      </w:r>
      <w:r w:rsidR="008052E3" w:rsidRPr="00A973A2">
        <w:rPr>
          <w:rFonts w:hint="eastAsia"/>
        </w:rPr>
        <w:t>載明</w:t>
      </w:r>
      <w:r w:rsidR="00C555AB" w:rsidRPr="00A973A2">
        <w:rPr>
          <w:rFonts w:hint="eastAsia"/>
        </w:rPr>
        <w:t>之</w:t>
      </w:r>
      <w:r w:rsidR="00F61879" w:rsidRPr="00A973A2">
        <w:rPr>
          <w:rFonts w:hint="eastAsia"/>
        </w:rPr>
        <w:t>所謂憲法</w:t>
      </w:r>
      <w:r w:rsidR="00C555AB" w:rsidRPr="00A973A2">
        <w:rPr>
          <w:rFonts w:hint="eastAsia"/>
        </w:rPr>
        <w:t>觀點</w:t>
      </w:r>
      <w:r w:rsidR="00CF660D" w:rsidRPr="00A973A2">
        <w:rPr>
          <w:rFonts w:hint="eastAsia"/>
        </w:rPr>
        <w:t>，如此司法權可以</w:t>
      </w:r>
      <w:r w:rsidR="00C555AB" w:rsidRPr="00A973A2">
        <w:rPr>
          <w:rFonts w:hint="eastAsia"/>
        </w:rPr>
        <w:t>堂而皇之</w:t>
      </w:r>
      <w:r w:rsidR="00CF660D" w:rsidRPr="00A973A2">
        <w:rPr>
          <w:rFonts w:hint="eastAsia"/>
        </w:rPr>
        <w:t>取代監察權，監察院深深相信上開</w:t>
      </w:r>
      <w:r w:rsidR="008052E3" w:rsidRPr="00A973A2">
        <w:rPr>
          <w:rFonts w:hint="eastAsia"/>
        </w:rPr>
        <w:t>見解，</w:t>
      </w:r>
      <w:r w:rsidR="00CF660D" w:rsidRPr="00A973A2">
        <w:rPr>
          <w:rFonts w:hint="eastAsia"/>
        </w:rPr>
        <w:t>違反</w:t>
      </w:r>
      <w:r w:rsidR="00F61879" w:rsidRPr="00A973A2">
        <w:rPr>
          <w:rFonts w:hint="eastAsia"/>
        </w:rPr>
        <w:t>基本</w:t>
      </w:r>
      <w:r w:rsidR="00CF660D" w:rsidRPr="00A973A2">
        <w:rPr>
          <w:rFonts w:hint="eastAsia"/>
        </w:rPr>
        <w:t>邏輯必不會成立，從而，就此問題</w:t>
      </w:r>
      <w:r w:rsidR="00C555AB" w:rsidRPr="00A973A2">
        <w:rPr>
          <w:rFonts w:hint="eastAsia"/>
        </w:rPr>
        <w:t>並無疑義，司法院大法官自應為受理決定。</w:t>
      </w:r>
    </w:p>
    <w:p w:rsidR="00331BF9" w:rsidRPr="00A973A2" w:rsidRDefault="00331BF9" w:rsidP="00CD3D89">
      <w:pPr>
        <w:pStyle w:val="2"/>
      </w:pPr>
      <w:r w:rsidRPr="00A973A2">
        <w:rPr>
          <w:rFonts w:hAnsi="標楷體" w:hint="eastAsia"/>
        </w:rPr>
        <w:t>學者李建良部分，其提到</w:t>
      </w:r>
      <w:r w:rsidR="00C622DC" w:rsidRPr="00A973A2">
        <w:rPr>
          <w:rFonts w:hAnsi="標楷體" w:hint="eastAsia"/>
        </w:rPr>
        <w:t>「</w:t>
      </w:r>
      <w:r w:rsidR="000730D9" w:rsidRPr="00A973A2">
        <w:rPr>
          <w:rFonts w:hAnsi="標楷體" w:hint="eastAsia"/>
        </w:rPr>
        <w:t>司法院大法官審理案件法規定，中央機關要聲請釋憲，必須是行使憲法上職權時，且必須與憲法疑義有關，而監察院並非黨產條例的適用機關，本</w:t>
      </w:r>
      <w:r w:rsidR="007568D4" w:rsidRPr="00A973A2">
        <w:rPr>
          <w:rFonts w:hAnsi="標楷體" w:hint="eastAsia"/>
        </w:rPr>
        <w:t>案不在</w:t>
      </w:r>
      <w:r w:rsidR="00F23641" w:rsidRPr="00A973A2">
        <w:rPr>
          <w:rFonts w:hAnsi="標楷體" w:hint="eastAsia"/>
        </w:rPr>
        <w:t>法院大法官審理案件法</w:t>
      </w:r>
      <w:r w:rsidR="007568D4" w:rsidRPr="00A973A2">
        <w:rPr>
          <w:rFonts w:hAnsi="標楷體" w:hint="eastAsia"/>
        </w:rPr>
        <w:t>的適用範圍，應不受理。」</w:t>
      </w:r>
      <w:r w:rsidR="007568D4" w:rsidRPr="00A973A2">
        <w:rPr>
          <w:rFonts w:hint="eastAsia"/>
        </w:rPr>
        <w:t>然李建良除前揭本院所述疑義</w:t>
      </w:r>
      <w:r w:rsidR="000730D9" w:rsidRPr="00A973A2">
        <w:rPr>
          <w:rFonts w:hint="eastAsia"/>
        </w:rPr>
        <w:t>外</w:t>
      </w:r>
      <w:r w:rsidR="007568D4" w:rsidRPr="00A973A2">
        <w:rPr>
          <w:rFonts w:hint="eastAsia"/>
        </w:rPr>
        <w:t>，</w:t>
      </w:r>
      <w:r w:rsidR="000730D9" w:rsidRPr="00A973A2">
        <w:rPr>
          <w:rFonts w:hint="eastAsia"/>
        </w:rPr>
        <w:t>並於司法院釋字</w:t>
      </w:r>
      <w:r w:rsidR="00F23641" w:rsidRPr="00A973A2">
        <w:rPr>
          <w:rFonts w:hint="eastAsia"/>
        </w:rPr>
        <w:t>第</w:t>
      </w:r>
      <w:r w:rsidR="000730D9" w:rsidRPr="00A973A2">
        <w:rPr>
          <w:rFonts w:hint="eastAsia"/>
        </w:rPr>
        <w:t>530號</w:t>
      </w:r>
      <w:r w:rsidR="00F92AB0" w:rsidRPr="00A973A2">
        <w:rPr>
          <w:rFonts w:hint="eastAsia"/>
        </w:rPr>
        <w:t>解釋</w:t>
      </w:r>
      <w:r w:rsidR="000730D9" w:rsidRPr="00A973A2">
        <w:rPr>
          <w:rFonts w:hint="eastAsia"/>
        </w:rPr>
        <w:t>並無任何批判性意見</w:t>
      </w:r>
      <w:r w:rsidR="00F23641" w:rsidRPr="00A973A2">
        <w:rPr>
          <w:rFonts w:hint="eastAsia"/>
        </w:rPr>
        <w:t>，</w:t>
      </w:r>
      <w:r w:rsidR="000730D9" w:rsidRPr="00A973A2">
        <w:rPr>
          <w:rFonts w:hint="eastAsia"/>
        </w:rPr>
        <w:t>反稱：「</w:t>
      </w:r>
      <w:r w:rsidR="00F92AB0" w:rsidRPr="00A973A2">
        <w:rPr>
          <w:rFonts w:hint="eastAsia"/>
        </w:rPr>
        <w:t>若謂司法院大法官釋憲制度屬</w:t>
      </w:r>
      <w:r w:rsidR="000730D9" w:rsidRPr="00A973A2">
        <w:rPr>
          <w:rFonts w:hint="eastAsia"/>
        </w:rPr>
        <w:t>於司法權的一環，則依</w:t>
      </w:r>
      <w:r w:rsidR="00F23641" w:rsidRPr="00A973A2">
        <w:rPr>
          <w:rFonts w:hint="eastAsia"/>
        </w:rPr>
        <w:t>『</w:t>
      </w:r>
      <w:r w:rsidR="000730D9" w:rsidRPr="00A973A2">
        <w:rPr>
          <w:rFonts w:hint="eastAsia"/>
        </w:rPr>
        <w:t>先程序，後實體</w:t>
      </w:r>
      <w:r w:rsidR="00F23641" w:rsidRPr="00A973A2">
        <w:rPr>
          <w:rFonts w:hint="eastAsia"/>
        </w:rPr>
        <w:t>』</w:t>
      </w:r>
      <w:r w:rsidR="000730D9" w:rsidRPr="00A973A2">
        <w:rPr>
          <w:rFonts w:hint="eastAsia"/>
        </w:rPr>
        <w:t>的訴訟原則，在探究本號解釋的實質內容之前，宜先就本件釋憲案的聲請要件及審理程序問題，略作說明。按監察院最初決議聲請大法官解釋，係出於監察院對於系爭命令是否違反法律保留原則一節，與司法院見解有異。就此而言，其所提聲請似屬統一解釋。惟按司法院大法官審理案件法第</w:t>
      </w:r>
      <w:r w:rsidR="00F23641" w:rsidRPr="00A973A2">
        <w:rPr>
          <w:rFonts w:hint="eastAsia"/>
        </w:rPr>
        <w:t>7</w:t>
      </w:r>
      <w:r w:rsidR="000730D9" w:rsidRPr="00A973A2">
        <w:rPr>
          <w:rFonts w:hint="eastAsia"/>
        </w:rPr>
        <w:t>條第</w:t>
      </w:r>
      <w:r w:rsidR="00F23641" w:rsidRPr="00A973A2">
        <w:rPr>
          <w:rFonts w:hint="eastAsia"/>
        </w:rPr>
        <w:t>1</w:t>
      </w:r>
      <w:r w:rsidR="000730D9" w:rsidRPr="00A973A2">
        <w:rPr>
          <w:rFonts w:hint="eastAsia"/>
        </w:rPr>
        <w:t>項所定得聲請統一解釋的事項，係指國家機關就其職權上適用</w:t>
      </w:r>
      <w:r w:rsidR="00F23641" w:rsidRPr="00A973A2">
        <w:rPr>
          <w:rFonts w:hint="eastAsia"/>
        </w:rPr>
        <w:t>『</w:t>
      </w:r>
      <w:r w:rsidR="000730D9" w:rsidRPr="00A973A2">
        <w:rPr>
          <w:rFonts w:hint="eastAsia"/>
        </w:rPr>
        <w:t>法律或命令</w:t>
      </w:r>
      <w:r w:rsidR="00F23641" w:rsidRPr="00A973A2">
        <w:rPr>
          <w:rFonts w:hint="eastAsia"/>
        </w:rPr>
        <w:t>』</w:t>
      </w:r>
      <w:r w:rsidR="000730D9" w:rsidRPr="00A973A2">
        <w:rPr>
          <w:rFonts w:hint="eastAsia"/>
        </w:rPr>
        <w:t>所持見解，與他機關見解有異。就系爭問題而言，其雖與所謂</w:t>
      </w:r>
      <w:r w:rsidR="00F23641" w:rsidRPr="00A973A2">
        <w:rPr>
          <w:rFonts w:hint="eastAsia"/>
        </w:rPr>
        <w:t>『</w:t>
      </w:r>
      <w:r w:rsidR="000730D9" w:rsidRPr="00A973A2">
        <w:rPr>
          <w:rFonts w:hint="eastAsia"/>
        </w:rPr>
        <w:t>命令</w:t>
      </w:r>
      <w:r w:rsidR="00F23641" w:rsidRPr="00A973A2">
        <w:rPr>
          <w:rFonts w:hint="eastAsia"/>
        </w:rPr>
        <w:t>』</w:t>
      </w:r>
      <w:r w:rsidR="000730D9" w:rsidRPr="00A973A2">
        <w:rPr>
          <w:rFonts w:hint="eastAsia"/>
        </w:rPr>
        <w:t>相涉，但非關該等命令的</w:t>
      </w:r>
      <w:r w:rsidR="00F23641" w:rsidRPr="00A973A2">
        <w:rPr>
          <w:rFonts w:hint="eastAsia"/>
        </w:rPr>
        <w:t>『</w:t>
      </w:r>
      <w:r w:rsidR="000730D9" w:rsidRPr="00A973A2">
        <w:rPr>
          <w:rFonts w:hint="eastAsia"/>
        </w:rPr>
        <w:t>適用</w:t>
      </w:r>
      <w:r w:rsidR="00F23641" w:rsidRPr="00A973A2">
        <w:rPr>
          <w:rFonts w:hint="eastAsia"/>
        </w:rPr>
        <w:t>』</w:t>
      </w:r>
      <w:r w:rsidR="000730D9" w:rsidRPr="00A973A2">
        <w:rPr>
          <w:rFonts w:hint="eastAsia"/>
        </w:rPr>
        <w:t>，而是該等命令是否牴觸憲法的問題，故不符合統一解釋的要件。次就憲法解釋而言，依司法院大法官審理案件法第</w:t>
      </w:r>
      <w:r w:rsidR="00F23641" w:rsidRPr="00A973A2">
        <w:rPr>
          <w:rFonts w:hint="eastAsia"/>
        </w:rPr>
        <w:t>5</w:t>
      </w:r>
      <w:r w:rsidR="000730D9" w:rsidRPr="00A973A2">
        <w:rPr>
          <w:rFonts w:hint="eastAsia"/>
        </w:rPr>
        <w:t>條第</w:t>
      </w:r>
      <w:r w:rsidR="00F23641" w:rsidRPr="00A973A2">
        <w:rPr>
          <w:rFonts w:hint="eastAsia"/>
        </w:rPr>
        <w:t>1</w:t>
      </w:r>
      <w:r w:rsidR="000730D9" w:rsidRPr="00A973A2">
        <w:rPr>
          <w:rFonts w:hint="eastAsia"/>
        </w:rPr>
        <w:t>項第</w:t>
      </w:r>
      <w:r w:rsidR="00F23641" w:rsidRPr="00A973A2">
        <w:rPr>
          <w:rFonts w:hint="eastAsia"/>
        </w:rPr>
        <w:t>1</w:t>
      </w:r>
      <w:r w:rsidR="000730D9" w:rsidRPr="00A973A2">
        <w:rPr>
          <w:rFonts w:hint="eastAsia"/>
        </w:rPr>
        <w:t>款規定，得提起解釋憲法者，有三種情形：一、國家（中央或地方）機關於行使職權，適用憲法發生疑義。二、國家機關因行使職權與其他機關之職權，發生適用憲法上之爭議。三、適用法律或命令發生有牴觸憲法之疑義。就本案而言，監察院在第一份聲請書中雖謂：「其（按指：監察院）適用法律與命令發生有牴觸憲法之疑義」，惟因監察院並未適用系爭命令，故應非上述第三種情形，至於其究屬第一種或第二種情形，則有進一步說明的必要。依憲法增修條文第</w:t>
      </w:r>
      <w:r w:rsidR="00CD3D89" w:rsidRPr="00A973A2">
        <w:rPr>
          <w:rFonts w:hint="eastAsia"/>
        </w:rPr>
        <w:t>7</w:t>
      </w:r>
      <w:r w:rsidR="000730D9" w:rsidRPr="00A973A2">
        <w:rPr>
          <w:rFonts w:hint="eastAsia"/>
        </w:rPr>
        <w:t>條第</w:t>
      </w:r>
      <w:r w:rsidR="00CD3D89" w:rsidRPr="00A973A2">
        <w:rPr>
          <w:rFonts w:hint="eastAsia"/>
        </w:rPr>
        <w:t>1</w:t>
      </w:r>
      <w:r w:rsidR="000730D9" w:rsidRPr="00A973A2">
        <w:rPr>
          <w:rFonts w:hint="eastAsia"/>
        </w:rPr>
        <w:t>項規定，監察院為國家最高監察機關，行使彈劾、糾舉及審計權，故監察院得針對系爭案件發動調查權，並作成違憲的認定，進而提出糾舉案，蓋此乃憲法所賦予之職權，換言之，監察院對於國家機關有無違法或違憲的疑義，享有認定的權限，其若認為國家機關所定命令有違憲情事，本可依憲法所賦予的職權提案予以糾正，無須以大法官解釋是賴，監察院對於法務部提出糾正，即是行使糾舉權的具體表現。然則，憲法第</w:t>
      </w:r>
      <w:r w:rsidR="00F23641" w:rsidRPr="00A973A2">
        <w:rPr>
          <w:rFonts w:hint="eastAsia"/>
        </w:rPr>
        <w:t>97</w:t>
      </w:r>
      <w:r w:rsidR="000730D9" w:rsidRPr="00A973A2">
        <w:rPr>
          <w:rFonts w:hint="eastAsia"/>
        </w:rPr>
        <w:t>條第</w:t>
      </w:r>
      <w:r w:rsidR="00F23641" w:rsidRPr="00A973A2">
        <w:rPr>
          <w:rFonts w:hint="eastAsia"/>
        </w:rPr>
        <w:t>1</w:t>
      </w:r>
      <w:r w:rsidR="000730D9" w:rsidRPr="00A973A2">
        <w:rPr>
          <w:rFonts w:hint="eastAsia"/>
        </w:rPr>
        <w:t>項規定：</w:t>
      </w:r>
      <w:r w:rsidR="00F23641" w:rsidRPr="00A973A2">
        <w:rPr>
          <w:rFonts w:hint="eastAsia"/>
        </w:rPr>
        <w:t>『</w:t>
      </w:r>
      <w:r w:rsidR="000730D9" w:rsidRPr="00A973A2">
        <w:rPr>
          <w:rFonts w:hint="eastAsia"/>
        </w:rPr>
        <w:t>監察院經各該委員會之審查及決議，得提出糾正案，移送行政院及其所有關部會，促其注意改善。</w:t>
      </w:r>
      <w:r w:rsidR="00F23641" w:rsidRPr="00A973A2">
        <w:rPr>
          <w:rFonts w:hint="eastAsia"/>
        </w:rPr>
        <w:t>』</w:t>
      </w:r>
      <w:r w:rsidR="000730D9" w:rsidRPr="00A973A2">
        <w:rPr>
          <w:rFonts w:hint="eastAsia"/>
        </w:rPr>
        <w:t>據此規定，監察院得提出糾正案的對象僅限於</w:t>
      </w:r>
      <w:r w:rsidR="00F23641" w:rsidRPr="00A973A2">
        <w:rPr>
          <w:rFonts w:hint="eastAsia"/>
        </w:rPr>
        <w:t>『</w:t>
      </w:r>
      <w:r w:rsidR="000730D9" w:rsidRPr="00A973A2">
        <w:rPr>
          <w:rFonts w:hint="eastAsia"/>
        </w:rPr>
        <w:t>行政院及其有關部會</w:t>
      </w:r>
      <w:r w:rsidR="00F23641" w:rsidRPr="00A973A2">
        <w:rPr>
          <w:rFonts w:hint="eastAsia"/>
        </w:rPr>
        <w:t>』</w:t>
      </w:r>
      <w:r w:rsidR="000730D9" w:rsidRPr="00A973A2">
        <w:rPr>
          <w:rFonts w:hint="eastAsia"/>
        </w:rPr>
        <w:t>，而不及於司法院，故監察院即使認定司法院有違憲情事，仍無從對之提案糾正（無從行使職權），至於彈劾案則因系爭命令難以歸咎為特定人員所為，亦有行使上的困難。於此情形下，監察院若要進一步對司法院有所糾正，唯有透過釋憲案的提起，而其理由應是</w:t>
      </w:r>
      <w:r w:rsidR="00F23641" w:rsidRPr="00A973A2">
        <w:rPr>
          <w:rFonts w:hint="eastAsia"/>
        </w:rPr>
        <w:t>『</w:t>
      </w:r>
      <w:r w:rsidR="000730D9" w:rsidRPr="00A973A2">
        <w:rPr>
          <w:rFonts w:hint="eastAsia"/>
        </w:rPr>
        <w:t>行使職權，適用憲法發生疑義</w:t>
      </w:r>
      <w:r w:rsidR="00F23641" w:rsidRPr="00A973A2">
        <w:rPr>
          <w:rFonts w:hint="eastAsia"/>
        </w:rPr>
        <w:t>』</w:t>
      </w:r>
      <w:r w:rsidR="000730D9" w:rsidRPr="00A973A2">
        <w:rPr>
          <w:rFonts w:hint="eastAsia"/>
        </w:rPr>
        <w:t>，而非</w:t>
      </w:r>
      <w:r w:rsidR="00F23641" w:rsidRPr="00A973A2">
        <w:rPr>
          <w:rFonts w:hint="eastAsia"/>
        </w:rPr>
        <w:t>『</w:t>
      </w:r>
      <w:r w:rsidR="000730D9" w:rsidRPr="00A973A2">
        <w:rPr>
          <w:rFonts w:hint="eastAsia"/>
        </w:rPr>
        <w:t>行使職權與其他機關之職權，發生適用憲法上之爭議</w:t>
      </w:r>
      <w:r w:rsidR="00F23641" w:rsidRPr="00A973A2">
        <w:rPr>
          <w:rFonts w:hint="eastAsia"/>
        </w:rPr>
        <w:t>』</w:t>
      </w:r>
      <w:r w:rsidR="000730D9" w:rsidRPr="00A973A2">
        <w:rPr>
          <w:rFonts w:hint="eastAsia"/>
        </w:rPr>
        <w:t>，蓋嚴格言之，監察院之所以提出釋憲案，實乃出於憲法對於監察院職權有所限制所致，而非因監察院與司法院之間發生權限爭議，故於本件釋憲案中，大法官似居於</w:t>
      </w:r>
      <w:r w:rsidR="00F23641" w:rsidRPr="00A973A2">
        <w:rPr>
          <w:rFonts w:hint="eastAsia"/>
        </w:rPr>
        <w:t>『</w:t>
      </w:r>
      <w:r w:rsidR="000730D9" w:rsidRPr="00A973A2">
        <w:rPr>
          <w:rFonts w:hint="eastAsia"/>
        </w:rPr>
        <w:t>補充監察權</w:t>
      </w:r>
      <w:r w:rsidR="00F23641" w:rsidRPr="00A973A2">
        <w:rPr>
          <w:rFonts w:hint="eastAsia"/>
        </w:rPr>
        <w:t>』</w:t>
      </w:r>
      <w:r w:rsidR="000730D9" w:rsidRPr="00A973A2">
        <w:rPr>
          <w:rFonts w:hint="eastAsia"/>
        </w:rPr>
        <w:t>的地位，而非嚴格意義的權限爭議解釋機關。」</w:t>
      </w:r>
      <w:r w:rsidR="00F92AB0" w:rsidRPr="00A973A2">
        <w:rPr>
          <w:rStyle w:val="aff"/>
          <w:rFonts w:hAnsi="標楷體"/>
        </w:rPr>
        <w:footnoteReference w:id="25"/>
      </w:r>
      <w:r w:rsidR="000730D9" w:rsidRPr="00A973A2">
        <w:rPr>
          <w:rFonts w:hint="eastAsia"/>
        </w:rPr>
        <w:t>等語。</w:t>
      </w:r>
      <w:r w:rsidR="007568D4" w:rsidRPr="00A973A2">
        <w:rPr>
          <w:rFonts w:hint="eastAsia"/>
          <w:b/>
        </w:rPr>
        <w:t>依據上開見解</w:t>
      </w:r>
      <w:r w:rsidR="00F23641" w:rsidRPr="00A973A2">
        <w:rPr>
          <w:rFonts w:hint="eastAsia"/>
          <w:b/>
        </w:rPr>
        <w:t>，</w:t>
      </w:r>
      <w:r w:rsidR="007568D4" w:rsidRPr="00A973A2">
        <w:rPr>
          <w:rFonts w:hint="eastAsia"/>
          <w:b/>
        </w:rPr>
        <w:t>不論如何，</w:t>
      </w:r>
      <w:r w:rsidR="000730D9" w:rsidRPr="00A973A2">
        <w:rPr>
          <w:rFonts w:hint="eastAsia"/>
          <w:b/>
        </w:rPr>
        <w:t>似認為</w:t>
      </w:r>
      <w:r w:rsidR="00F92AB0" w:rsidRPr="00A973A2">
        <w:rPr>
          <w:rFonts w:hint="eastAsia"/>
          <w:b/>
        </w:rPr>
        <w:t>該件聲請</w:t>
      </w:r>
      <w:r w:rsidR="000730D9" w:rsidRPr="00A973A2">
        <w:rPr>
          <w:rFonts w:hint="eastAsia"/>
          <w:b/>
        </w:rPr>
        <w:t>仍有司法院大法官審理案件法第5條第1項第1款規定之適用，</w:t>
      </w:r>
      <w:r w:rsidR="00F92AB0" w:rsidRPr="00A973A2">
        <w:rPr>
          <w:rFonts w:hint="eastAsia"/>
          <w:b/>
        </w:rPr>
        <w:t>然</w:t>
      </w:r>
      <w:r w:rsidR="000730D9" w:rsidRPr="00A973A2">
        <w:rPr>
          <w:rFonts w:hint="eastAsia"/>
          <w:b/>
        </w:rPr>
        <w:t>何以就該件採</w:t>
      </w:r>
      <w:r w:rsidR="00F92AB0" w:rsidRPr="00A973A2">
        <w:rPr>
          <w:rFonts w:hint="eastAsia"/>
          <w:b/>
        </w:rPr>
        <w:t>取</w:t>
      </w:r>
      <w:r w:rsidR="00CD3D89" w:rsidRPr="00A973A2">
        <w:rPr>
          <w:rFonts w:hint="eastAsia"/>
          <w:b/>
        </w:rPr>
        <w:t>「</w:t>
      </w:r>
      <w:r w:rsidR="000730D9" w:rsidRPr="00A973A2">
        <w:rPr>
          <w:rFonts w:hint="eastAsia"/>
          <w:b/>
        </w:rPr>
        <w:t>寬鬆解釋</w:t>
      </w:r>
      <w:r w:rsidR="00CD3D89" w:rsidRPr="00A973A2">
        <w:rPr>
          <w:rFonts w:hint="eastAsia"/>
          <w:b/>
        </w:rPr>
        <w:t>」</w:t>
      </w:r>
      <w:r w:rsidR="000730D9" w:rsidRPr="00A973A2">
        <w:rPr>
          <w:rFonts w:hint="eastAsia"/>
          <w:b/>
        </w:rPr>
        <w:t>，而於本件採</w:t>
      </w:r>
      <w:r w:rsidR="00F92AB0" w:rsidRPr="00A973A2">
        <w:rPr>
          <w:rFonts w:hint="eastAsia"/>
          <w:b/>
        </w:rPr>
        <w:t>「</w:t>
      </w:r>
      <w:r w:rsidR="000730D9" w:rsidRPr="00A973A2">
        <w:rPr>
          <w:rFonts w:hint="eastAsia"/>
          <w:b/>
        </w:rPr>
        <w:t>嚴格解釋</w:t>
      </w:r>
      <w:r w:rsidR="00F92AB0" w:rsidRPr="00A973A2">
        <w:rPr>
          <w:rFonts w:hint="eastAsia"/>
          <w:b/>
        </w:rPr>
        <w:t>」</w:t>
      </w:r>
      <w:r w:rsidR="000730D9" w:rsidRPr="00A973A2">
        <w:rPr>
          <w:rFonts w:hint="eastAsia"/>
          <w:b/>
        </w:rPr>
        <w:t>，其理由為何？</w:t>
      </w:r>
    </w:p>
    <w:p w:rsidR="005F288A" w:rsidRPr="00A973A2" w:rsidRDefault="005F288A" w:rsidP="00CD3D89">
      <w:pPr>
        <w:pStyle w:val="2"/>
      </w:pPr>
      <w:r w:rsidRPr="00A973A2">
        <w:rPr>
          <w:rFonts w:hAnsi="標楷體" w:hint="eastAsia"/>
        </w:rPr>
        <w:t>學者林明昕稱：「機關聲請釋憲的要件包括</w:t>
      </w:r>
      <w:r w:rsidR="00F23641" w:rsidRPr="00A973A2">
        <w:rPr>
          <w:rFonts w:hAnsi="標楷體" w:hint="eastAsia"/>
        </w:rPr>
        <w:t>『</w:t>
      </w:r>
      <w:r w:rsidRPr="00A973A2">
        <w:rPr>
          <w:rFonts w:hAnsi="標楷體" w:hint="eastAsia"/>
        </w:rPr>
        <w:t>行使職權</w:t>
      </w:r>
      <w:r w:rsidR="00F23641" w:rsidRPr="00A973A2">
        <w:rPr>
          <w:rFonts w:hAnsi="標楷體" w:hint="eastAsia"/>
        </w:rPr>
        <w:t>』</w:t>
      </w:r>
      <w:r w:rsidRPr="00A973A2">
        <w:rPr>
          <w:rFonts w:hAnsi="標楷體" w:hint="eastAsia"/>
        </w:rPr>
        <w:t>，但監察院在本案中行使的調查權，只算是職權下的附屬手段，除非能連結到未來的糾正或彈劾案，否則不應受理。」</w:t>
      </w:r>
      <w:r w:rsidRPr="00A973A2">
        <w:rPr>
          <w:rFonts w:hint="eastAsia"/>
        </w:rPr>
        <w:t>除反於司法院大法官過去受理之憲法程序慣例，另如前所述，世界各國監察制度係以廣泛調查權行使，作為監察工作之核心職權，並非僅為工具性權力，在我國五權憲法結構下，與其他各權相較，明定於憲法第95條與第96條，具有特別意義，行政行為調查後發見並無違法，但適用法律係違憲法律，因其違憲時所依據法律，係由立法院制定通過，處理法令違憲問題，涉及否決立法行為效力，監察院就行政機關合法行為，尚無從提案糾正與彈劾，僅能移送憲法唯一處理法令違憲之機關-司法院大法官審查，透過有權解釋憲法機關做出終局決定。司法院大法官解釋後若認為係屬違憲，而行政機關仍行使所謂抵抗權時，拒絕執行司法院大法官之憲法解釋時，監察權方能就其行政權提出彈劾與糾正，調查權亦構成所有監察權之核心基礎，監察院行使各項職權，必然會行使調查權提出調查報告，但是否會彈劾或糾正，則應基於監察權合議決定，並視憲法所定之法定要件與行政權對於監察權之態度而定等語，學者林明昕所提不受理理由，似有疑義。</w:t>
      </w:r>
    </w:p>
    <w:p w:rsidR="005F288A" w:rsidRPr="00A973A2" w:rsidRDefault="005F288A" w:rsidP="00CE6419">
      <w:pPr>
        <w:pStyle w:val="2"/>
      </w:pPr>
      <w:r w:rsidRPr="00A973A2">
        <w:rPr>
          <w:rFonts w:hint="eastAsia"/>
        </w:rPr>
        <w:t>學者楊子慧稱</w:t>
      </w:r>
      <w:r w:rsidR="007568D4" w:rsidRPr="00A973A2">
        <w:rPr>
          <w:rFonts w:hint="eastAsia"/>
        </w:rPr>
        <w:t>其</w:t>
      </w:r>
      <w:r w:rsidRPr="00A973A2">
        <w:rPr>
          <w:rFonts w:hint="eastAsia"/>
        </w:rPr>
        <w:t>提3萬字報告，</w:t>
      </w:r>
      <w:r w:rsidR="00F23641" w:rsidRPr="00A973A2">
        <w:rPr>
          <w:rFonts w:hint="eastAsia"/>
        </w:rPr>
        <w:t>認</w:t>
      </w:r>
      <w:r w:rsidRPr="00A973A2">
        <w:rPr>
          <w:rFonts w:hint="eastAsia"/>
        </w:rPr>
        <w:t>應採德國列舉規定</w:t>
      </w:r>
      <w:r w:rsidR="00BF7FCE" w:rsidRPr="00A973A2">
        <w:rPr>
          <w:rFonts w:hint="eastAsia"/>
        </w:rPr>
        <w:t>審查</w:t>
      </w:r>
      <w:r w:rsidRPr="00A973A2">
        <w:rPr>
          <w:rFonts w:hint="eastAsia"/>
        </w:rPr>
        <w:t>云云，</w:t>
      </w:r>
      <w:r w:rsidR="00BF7FCE" w:rsidRPr="00A973A2">
        <w:rPr>
          <w:rFonts w:hint="eastAsia"/>
        </w:rPr>
        <w:t>然監察院於有限時間內，查其所著</w:t>
      </w:r>
      <w:r w:rsidR="00D57308" w:rsidRPr="00A973A2">
        <w:rPr>
          <w:rFonts w:hint="eastAsia"/>
        </w:rPr>
        <w:t>「</w:t>
      </w:r>
      <w:r w:rsidR="00BF7FCE" w:rsidRPr="00A973A2">
        <w:rPr>
          <w:rFonts w:hint="eastAsia"/>
        </w:rPr>
        <w:t>憲法訴訟</w:t>
      </w:r>
      <w:r w:rsidR="00D57308" w:rsidRPr="00A973A2">
        <w:rPr>
          <w:rFonts w:hint="eastAsia"/>
        </w:rPr>
        <w:t>」</w:t>
      </w:r>
      <w:r w:rsidR="00BF7FCE" w:rsidRPr="00A973A2">
        <w:rPr>
          <w:rFonts w:hint="eastAsia"/>
        </w:rPr>
        <w:t>乙書，</w:t>
      </w:r>
      <w:r w:rsidR="00E74EE1" w:rsidRPr="00A973A2">
        <w:rPr>
          <w:rFonts w:hint="eastAsia"/>
        </w:rPr>
        <w:t>恕監察院直言</w:t>
      </w:r>
      <w:r w:rsidR="00F23641" w:rsidRPr="00A973A2">
        <w:rPr>
          <w:rFonts w:hint="eastAsia"/>
        </w:rPr>
        <w:t>，</w:t>
      </w:r>
      <w:r w:rsidR="00BF7FCE" w:rsidRPr="00A973A2">
        <w:rPr>
          <w:rFonts w:hint="eastAsia"/>
        </w:rPr>
        <w:t>並無發見</w:t>
      </w:r>
      <w:r w:rsidR="00EA1644" w:rsidRPr="00A973A2">
        <w:rPr>
          <w:rFonts w:hint="eastAsia"/>
        </w:rPr>
        <w:t>楊子慧就</w:t>
      </w:r>
      <w:r w:rsidR="006B138F" w:rsidRPr="00A973A2">
        <w:rPr>
          <w:rFonts w:hint="eastAsia"/>
        </w:rPr>
        <w:t>「</w:t>
      </w:r>
      <w:r w:rsidR="00BF7FCE" w:rsidRPr="00A973A2">
        <w:rPr>
          <w:rFonts w:hint="eastAsia"/>
        </w:rPr>
        <w:t>如何採取列舉規定審查乙途</w:t>
      </w:r>
      <w:r w:rsidR="007568D4" w:rsidRPr="00A973A2">
        <w:rPr>
          <w:rFonts w:hint="eastAsia"/>
        </w:rPr>
        <w:t>，</w:t>
      </w:r>
      <w:r w:rsidR="006B138F" w:rsidRPr="00A973A2">
        <w:rPr>
          <w:rFonts w:hint="eastAsia"/>
        </w:rPr>
        <w:t>而</w:t>
      </w:r>
      <w:r w:rsidR="007568D4" w:rsidRPr="00A973A2">
        <w:rPr>
          <w:rFonts w:hint="eastAsia"/>
        </w:rPr>
        <w:t>得以不受理</w:t>
      </w:r>
      <w:r w:rsidR="006B138F" w:rsidRPr="00A973A2">
        <w:rPr>
          <w:rFonts w:hint="eastAsia"/>
        </w:rPr>
        <w:t>」</w:t>
      </w:r>
      <w:r w:rsidR="00EA1644" w:rsidRPr="00A973A2">
        <w:rPr>
          <w:rFonts w:hint="eastAsia"/>
        </w:rPr>
        <w:t>提出說明</w:t>
      </w:r>
      <w:r w:rsidR="00BF7FCE" w:rsidRPr="00A973A2">
        <w:rPr>
          <w:rFonts w:hint="eastAsia"/>
        </w:rPr>
        <w:t>，其又</w:t>
      </w:r>
      <w:r w:rsidR="006B138F" w:rsidRPr="00A973A2">
        <w:rPr>
          <w:rFonts w:hint="eastAsia"/>
        </w:rPr>
        <w:t>略</w:t>
      </w:r>
      <w:r w:rsidR="00BF7FCE" w:rsidRPr="00A973A2">
        <w:rPr>
          <w:rFonts w:hint="eastAsia"/>
        </w:rPr>
        <w:t>稱</w:t>
      </w:r>
      <w:r w:rsidR="00CD3D89" w:rsidRPr="00A973A2">
        <w:rPr>
          <w:rFonts w:hint="eastAsia"/>
        </w:rPr>
        <w:t>：</w:t>
      </w:r>
      <w:r w:rsidR="00BF7FCE" w:rsidRPr="00A973A2">
        <w:rPr>
          <w:rFonts w:hint="eastAsia"/>
        </w:rPr>
        <w:t>「本件聲請案不應受理，</w:t>
      </w:r>
      <w:r w:rsidR="007F356A" w:rsidRPr="00A973A2">
        <w:rPr>
          <w:rFonts w:hint="eastAsia"/>
        </w:rPr>
        <w:t>且監察院的調查權只是決定要否彈劾、糾舉的附隨功能，監察院雖臚列黨產條例</w:t>
      </w:r>
      <w:r w:rsidR="00BF7FCE" w:rsidRPr="00A973A2">
        <w:rPr>
          <w:rFonts w:hint="eastAsia"/>
        </w:rPr>
        <w:t>諸多缺失，但都不是監察院的</w:t>
      </w:r>
      <w:r w:rsidR="007F356A" w:rsidRPr="00A973A2">
        <w:rPr>
          <w:rFonts w:hint="eastAsia"/>
        </w:rPr>
        <w:t>憲法</w:t>
      </w:r>
      <w:r w:rsidR="00BF7FCE" w:rsidRPr="00A973A2">
        <w:rPr>
          <w:rFonts w:hint="eastAsia"/>
        </w:rPr>
        <w:t>職權，行使職權是</w:t>
      </w:r>
      <w:r w:rsidR="00F23641" w:rsidRPr="00A973A2">
        <w:rPr>
          <w:rFonts w:hAnsi="標楷體" w:hint="eastAsia"/>
        </w:rPr>
        <w:t>司法院大法官審理案件法</w:t>
      </w:r>
      <w:r w:rsidR="00BF7FCE" w:rsidRPr="00A973A2">
        <w:rPr>
          <w:rFonts w:hint="eastAsia"/>
        </w:rPr>
        <w:t>的核心要件，監察院應先具明本案有行使職權之內涵，黨產條例已變成監察院調查的課題本身，而非監察院行使職權所涉及的法律，顯然不符</w:t>
      </w:r>
      <w:r w:rsidR="00F23641" w:rsidRPr="00A973A2">
        <w:rPr>
          <w:rFonts w:hAnsi="標楷體" w:hint="eastAsia"/>
        </w:rPr>
        <w:t>司法院大法官審理案件法</w:t>
      </w:r>
      <w:r w:rsidR="00BF7FCE" w:rsidRPr="00A973A2">
        <w:rPr>
          <w:rFonts w:hint="eastAsia"/>
        </w:rPr>
        <w:t>之要件。」等語。有關調查權是否為行使職權已如前述，然就「行使職權」要件寬嚴部分，</w:t>
      </w:r>
      <w:r w:rsidR="00EA1644" w:rsidRPr="00A973A2">
        <w:rPr>
          <w:rFonts w:hint="eastAsia"/>
        </w:rPr>
        <w:t>據</w:t>
      </w:r>
      <w:r w:rsidR="00BF7FCE" w:rsidRPr="00A973A2">
        <w:rPr>
          <w:rFonts w:hint="eastAsia"/>
        </w:rPr>
        <w:t>其憲法訴訟乙書中，析論我國機關聲請法令違憲解釋之程序</w:t>
      </w:r>
      <w:r w:rsidR="0045688B" w:rsidRPr="00A973A2">
        <w:rPr>
          <w:rFonts w:hint="eastAsia"/>
        </w:rPr>
        <w:t>乙文略以</w:t>
      </w:r>
      <w:r w:rsidR="00B7759E" w:rsidRPr="00A973A2">
        <w:rPr>
          <w:rFonts w:hint="eastAsia"/>
        </w:rPr>
        <w:t>，</w:t>
      </w:r>
      <w:r w:rsidR="0045688B" w:rsidRPr="00A973A2">
        <w:rPr>
          <w:rFonts w:hint="eastAsia"/>
        </w:rPr>
        <w:t>依據</w:t>
      </w:r>
      <w:r w:rsidR="00F23641" w:rsidRPr="00A973A2">
        <w:rPr>
          <w:rFonts w:hAnsi="標楷體" w:hint="eastAsia"/>
        </w:rPr>
        <w:t>司法院大法官審理案件法</w:t>
      </w:r>
      <w:r w:rsidR="0045688B" w:rsidRPr="00A973A2">
        <w:rPr>
          <w:rFonts w:hint="eastAsia"/>
        </w:rPr>
        <w:t>第5條第1項規定</w:t>
      </w:r>
      <w:r w:rsidR="00B7759E" w:rsidRPr="00A973A2">
        <w:rPr>
          <w:rFonts w:hint="eastAsia"/>
        </w:rPr>
        <w:t>之文義與體系解釋，必須符合「行使職權」之要件，其列舉涂懷瑩「程序從寬認定說」、朱武獻「維護憲法，具有解釋價值從寬認定說」與吳信華「客觀程序相對主觀化」界定為「與法定職權之行使有關，而有請求解釋之重要公共利益說」</w:t>
      </w:r>
      <w:r w:rsidR="00B7759E" w:rsidRPr="00A973A2">
        <w:rPr>
          <w:rStyle w:val="aff"/>
          <w:rFonts w:hAnsi="標楷體"/>
        </w:rPr>
        <w:footnoteReference w:id="26"/>
      </w:r>
      <w:r w:rsidR="00C20920" w:rsidRPr="00A973A2">
        <w:rPr>
          <w:rFonts w:hint="eastAsia"/>
        </w:rPr>
        <w:t>，</w:t>
      </w:r>
      <w:r w:rsidR="00B7759E" w:rsidRPr="00A973A2">
        <w:rPr>
          <w:rFonts w:hint="eastAsia"/>
        </w:rPr>
        <w:t>惟其並未表明贊成何說</w:t>
      </w:r>
      <w:r w:rsidR="00E74EE1" w:rsidRPr="00A973A2">
        <w:rPr>
          <w:rFonts w:hint="eastAsia"/>
        </w:rPr>
        <w:t>；其復於三分之一以上立委行使職權部分</w:t>
      </w:r>
      <w:r w:rsidR="00C20920" w:rsidRPr="00A973A2">
        <w:rPr>
          <w:rFonts w:hint="eastAsia"/>
        </w:rPr>
        <w:t>，</w:t>
      </w:r>
      <w:r w:rsidR="00E74EE1" w:rsidRPr="00A973A2">
        <w:rPr>
          <w:rFonts w:hint="eastAsia"/>
        </w:rPr>
        <w:t>列舉許宗力「放寬行使職權適用法律要件」說、吳信華「與法定職權之行使有關，而有請求解釋之重要公共利益說」</w:t>
      </w:r>
      <w:r w:rsidR="00252DD5" w:rsidRPr="00A973A2">
        <w:rPr>
          <w:rStyle w:val="aff"/>
          <w:rFonts w:hAnsi="標楷體"/>
        </w:rPr>
        <w:footnoteReference w:id="27"/>
      </w:r>
      <w:r w:rsidR="00E74EE1" w:rsidRPr="00A973A2">
        <w:rPr>
          <w:rFonts w:hint="eastAsia"/>
        </w:rPr>
        <w:t>、陳新民</w:t>
      </w:r>
      <w:r w:rsidR="007F356A" w:rsidRPr="00A973A2">
        <w:rPr>
          <w:rFonts w:hint="eastAsia"/>
        </w:rPr>
        <w:t>：</w:t>
      </w:r>
      <w:r w:rsidR="00EA1644" w:rsidRPr="00A973A2">
        <w:rPr>
          <w:rFonts w:hint="eastAsia"/>
        </w:rPr>
        <w:t>1</w:t>
      </w:r>
      <w:r w:rsidR="00C20920" w:rsidRPr="00A973A2">
        <w:rPr>
          <w:rFonts w:hint="eastAsia"/>
        </w:rPr>
        <w:t>.</w:t>
      </w:r>
      <w:r w:rsidR="00E74EE1" w:rsidRPr="00A973A2">
        <w:rPr>
          <w:rFonts w:hint="eastAsia"/>
        </w:rPr>
        <w:t>「行使職權為集體行使職權」說，2.「院會表決未果」說與3.限於「實證法及法規命令說」-指生效法令，亦未表明贊成何說</w:t>
      </w:r>
      <w:r w:rsidR="00E74EE1" w:rsidRPr="00A973A2">
        <w:rPr>
          <w:rStyle w:val="aff"/>
          <w:rFonts w:hAnsi="標楷體"/>
        </w:rPr>
        <w:footnoteReference w:id="28"/>
      </w:r>
      <w:r w:rsidR="00EA1644" w:rsidRPr="00A973A2">
        <w:rPr>
          <w:rFonts w:hint="eastAsia"/>
        </w:rPr>
        <w:t>？</w:t>
      </w:r>
      <w:r w:rsidR="00EA1644" w:rsidRPr="00A973A2">
        <w:rPr>
          <w:rFonts w:hint="eastAsia"/>
          <w:b/>
        </w:rPr>
        <w:t>然其於</w:t>
      </w:r>
      <w:r w:rsidR="000C47AA" w:rsidRPr="00A973A2">
        <w:rPr>
          <w:rFonts w:hint="eastAsia"/>
          <w:b/>
        </w:rPr>
        <w:t>「</w:t>
      </w:r>
      <w:r w:rsidR="00EA1644" w:rsidRPr="00A973A2">
        <w:rPr>
          <w:rFonts w:hint="eastAsia"/>
          <w:b/>
        </w:rPr>
        <w:t>機關聲請釋憲於憲法訴訟法規範草案</w:t>
      </w:r>
      <w:r w:rsidR="000C47AA" w:rsidRPr="00A973A2">
        <w:rPr>
          <w:rFonts w:hint="eastAsia"/>
          <w:b/>
        </w:rPr>
        <w:t>」</w:t>
      </w:r>
      <w:r w:rsidR="00EA1644" w:rsidRPr="00A973A2">
        <w:rPr>
          <w:rFonts w:hint="eastAsia"/>
          <w:b/>
        </w:rPr>
        <w:t>乙節卻又同意刪除「行使職權」要件，認為解決現行實務爭議，僅需參酌德國實務限於「需闡明或澄清之法令違憲問題具有憲法重大客觀公益」始得聲請憲法法庭裁判</w:t>
      </w:r>
      <w:r w:rsidR="007F356A" w:rsidRPr="00A973A2">
        <w:rPr>
          <w:rStyle w:val="aff"/>
          <w:rFonts w:hAnsi="標楷體"/>
        </w:rPr>
        <w:footnoteReference w:id="29"/>
      </w:r>
      <w:r w:rsidR="007F356A" w:rsidRPr="00A973A2">
        <w:rPr>
          <w:rFonts w:hint="eastAsia"/>
        </w:rPr>
        <w:t>，</w:t>
      </w:r>
      <w:r w:rsidR="00CE6419" w:rsidRPr="00A973A2">
        <w:rPr>
          <w:rFonts w:hint="eastAsia"/>
        </w:rPr>
        <w:t>學者楊子慧著書</w:t>
      </w:r>
      <w:r w:rsidR="00CD3D89" w:rsidRPr="00A973A2">
        <w:rPr>
          <w:rFonts w:hint="eastAsia"/>
        </w:rPr>
        <w:t>有關</w:t>
      </w:r>
      <w:r w:rsidR="007F356A" w:rsidRPr="00A973A2">
        <w:rPr>
          <w:rFonts w:hint="eastAsia"/>
        </w:rPr>
        <w:t>「行使職權」這個要件</w:t>
      </w:r>
      <w:r w:rsidR="006B138F" w:rsidRPr="00A973A2">
        <w:rPr>
          <w:rFonts w:hint="eastAsia"/>
        </w:rPr>
        <w:t>，</w:t>
      </w:r>
      <w:r w:rsidR="007F356A" w:rsidRPr="00A973A2">
        <w:rPr>
          <w:rFonts w:hint="eastAsia"/>
        </w:rPr>
        <w:t>是否為</w:t>
      </w:r>
      <w:r w:rsidR="00C20920" w:rsidRPr="00A973A2">
        <w:rPr>
          <w:rFonts w:hAnsi="標楷體" w:hint="eastAsia"/>
        </w:rPr>
        <w:t>司法院大法官審理案件法</w:t>
      </w:r>
      <w:r w:rsidR="007F356A" w:rsidRPr="00A973A2">
        <w:rPr>
          <w:rFonts w:hint="eastAsia"/>
        </w:rPr>
        <w:t>核心要件</w:t>
      </w:r>
      <w:r w:rsidR="006B138F" w:rsidRPr="00A973A2">
        <w:rPr>
          <w:rFonts w:hint="eastAsia"/>
        </w:rPr>
        <w:t>不明，然似</w:t>
      </w:r>
      <w:r w:rsidR="007F356A" w:rsidRPr="00A973A2">
        <w:rPr>
          <w:rFonts w:hint="eastAsia"/>
        </w:rPr>
        <w:t>採德國法</w:t>
      </w:r>
      <w:r w:rsidR="006B138F" w:rsidRPr="00A973A2">
        <w:rPr>
          <w:rFonts w:hint="eastAsia"/>
        </w:rPr>
        <w:t>規範</w:t>
      </w:r>
      <w:r w:rsidR="007F356A" w:rsidRPr="00A973A2">
        <w:rPr>
          <w:rFonts w:hint="eastAsia"/>
        </w:rPr>
        <w:t>刪除要件即可解決爭端。不論如何，然縱採吳信華「客觀程序相對主觀化」界定為「與法定職權之行使有關，而有請求解釋之重要公共利益說」及其分類，本件何以不與監察權有關，又不具有重要公共利益，其所論是否無稽，尚待查證。</w:t>
      </w:r>
    </w:p>
    <w:p w:rsidR="007F356A" w:rsidRPr="00A973A2" w:rsidRDefault="007F356A" w:rsidP="007568D4">
      <w:pPr>
        <w:pStyle w:val="2"/>
        <w:rPr>
          <w:rFonts w:hAnsi="標楷體"/>
        </w:rPr>
      </w:pPr>
      <w:r w:rsidRPr="00A973A2">
        <w:rPr>
          <w:rFonts w:hAnsi="標楷體" w:hint="eastAsia"/>
        </w:rPr>
        <w:t>學者蘇彥圖稱</w:t>
      </w:r>
      <w:r w:rsidR="00CD3D89" w:rsidRPr="00A973A2">
        <w:rPr>
          <w:rFonts w:hAnsi="標楷體" w:hint="eastAsia"/>
        </w:rPr>
        <w:t>：</w:t>
      </w:r>
      <w:r w:rsidRPr="00A973A2">
        <w:rPr>
          <w:rFonts w:hAnsi="標楷體" w:hint="eastAsia"/>
        </w:rPr>
        <w:t>「過去實務上常採『監察院例外主義』，亦即對具有特殊性的監察院採更寬鬆的認定，但並沒有明文規定，建議大法官能藉本案定出見解，決定到底要採</w:t>
      </w:r>
      <w:r w:rsidR="00C20920" w:rsidRPr="00A973A2">
        <w:rPr>
          <w:rFonts w:hAnsi="標楷體" w:hint="eastAsia"/>
        </w:rPr>
        <w:t>『</w:t>
      </w:r>
      <w:r w:rsidRPr="00A973A2">
        <w:rPr>
          <w:rFonts w:hAnsi="標楷體" w:hint="eastAsia"/>
        </w:rPr>
        <w:t>監察院例外主義</w:t>
      </w:r>
      <w:r w:rsidR="00C20920" w:rsidRPr="00A973A2">
        <w:rPr>
          <w:rFonts w:hAnsi="標楷體" w:hint="eastAsia"/>
        </w:rPr>
        <w:t>』</w:t>
      </w:r>
      <w:r w:rsidRPr="00A973A2">
        <w:rPr>
          <w:rFonts w:hAnsi="標楷體" w:hint="eastAsia"/>
        </w:rPr>
        <w:t>還是</w:t>
      </w:r>
      <w:r w:rsidR="00C20920" w:rsidRPr="00A973A2">
        <w:rPr>
          <w:rFonts w:hAnsi="標楷體" w:hint="eastAsia"/>
        </w:rPr>
        <w:t>『</w:t>
      </w:r>
      <w:r w:rsidRPr="00A973A2">
        <w:rPr>
          <w:rFonts w:hAnsi="標楷體" w:hint="eastAsia"/>
        </w:rPr>
        <w:t>機關聲請一體適用</w:t>
      </w:r>
      <w:r w:rsidR="00C20920" w:rsidRPr="00A973A2">
        <w:rPr>
          <w:rFonts w:hAnsi="標楷體" w:hint="eastAsia"/>
        </w:rPr>
        <w:t>』</w:t>
      </w:r>
      <w:r w:rsidRPr="00A973A2">
        <w:rPr>
          <w:rFonts w:hAnsi="標楷體" w:hint="eastAsia"/>
        </w:rPr>
        <w:t>，若在兩種見解中游移不定，恐被質疑藉此「選案受理」</w:t>
      </w:r>
      <w:r w:rsidR="007568D4" w:rsidRPr="00A973A2">
        <w:rPr>
          <w:rFonts w:hAnsi="標楷體" w:hint="eastAsia"/>
        </w:rPr>
        <w:t>等語。首先，監察院例外主義，出於蘇彥圖所著論文何處不明，依據前述論述，行使調查權乃監察院憲法所規定職權之一，其調查權行使範圍，涵蓋監督機關所主管法令，並無所謂「監察院例外主義」之問題。</w:t>
      </w:r>
    </w:p>
    <w:p w:rsidR="007568D4" w:rsidRPr="00A973A2" w:rsidRDefault="007568D4" w:rsidP="007340FE">
      <w:pPr>
        <w:pStyle w:val="2"/>
        <w:rPr>
          <w:rFonts w:hAnsi="標楷體"/>
        </w:rPr>
      </w:pPr>
      <w:r w:rsidRPr="00A973A2">
        <w:rPr>
          <w:rFonts w:hAnsi="標楷體" w:hint="eastAsia"/>
        </w:rPr>
        <w:t>行政</w:t>
      </w:r>
      <w:r w:rsidR="007340FE" w:rsidRPr="00A973A2">
        <w:rPr>
          <w:rFonts w:hAnsi="標楷體" w:hint="eastAsia"/>
        </w:rPr>
        <w:t>院</w:t>
      </w:r>
      <w:r w:rsidRPr="00A973A2">
        <w:rPr>
          <w:rFonts w:hAnsi="標楷體" w:hint="eastAsia"/>
        </w:rPr>
        <w:t>代表政務委員羅秉成認為，監察院本件聲請案不符合「依法行使職權」與「適用法律有違憲疑義」兩個法定要件，且以往監察院提出的釋憲聲請案，</w:t>
      </w:r>
      <w:r w:rsidR="007340FE" w:rsidRPr="00A973A2">
        <w:rPr>
          <w:rFonts w:hAnsi="標楷體" w:hint="eastAsia"/>
        </w:rPr>
        <w:t>亦有遭</w:t>
      </w:r>
      <w:r w:rsidRPr="00A973A2">
        <w:rPr>
          <w:rFonts w:hAnsi="標楷體" w:hint="eastAsia"/>
        </w:rPr>
        <w:t>有被大法官決議不受理的情況。</w:t>
      </w:r>
      <w:r w:rsidR="007340FE" w:rsidRPr="00A973A2">
        <w:rPr>
          <w:rFonts w:hAnsi="標楷體" w:hint="eastAsia"/>
        </w:rPr>
        <w:t>監察院調查權之行使，係監察委員之功能性權力，並非憲法所規定之監察院法定職權，即彈劾、糾舉與糾正權，監察委員以行使監察調查權為由，向司法院大法官提出法令違憲的釋憲聲請，必須符合目的性，黨產條例並非行政院所提法案，監察院本次聲請釋憲目的，如果不是導向糾正，而是希望導向黨產條例違憲，那麼，大法官會議在受理監察院釋憲聲請時，就必須要回歸到</w:t>
      </w:r>
      <w:r w:rsidR="00C20920" w:rsidRPr="00A973A2">
        <w:rPr>
          <w:rFonts w:hAnsi="標楷體" w:hint="eastAsia"/>
        </w:rPr>
        <w:t>司法院大法官審理案件法</w:t>
      </w:r>
      <w:r w:rsidR="007340FE" w:rsidRPr="00A973A2">
        <w:rPr>
          <w:rFonts w:hAnsi="標楷體" w:hint="eastAsia"/>
        </w:rPr>
        <w:t>規定，其並引用釋字第589號稱必須是處理本院監察委員退職案件始能聲請釋憲等語。</w:t>
      </w:r>
      <w:r w:rsidR="00C20920" w:rsidRPr="00A973A2">
        <w:rPr>
          <w:rFonts w:hAnsi="標楷體" w:hint="eastAsia"/>
        </w:rPr>
        <w:t>惟</w:t>
      </w:r>
      <w:r w:rsidR="007340FE" w:rsidRPr="00A973A2">
        <w:rPr>
          <w:rFonts w:hAnsi="標楷體" w:hint="eastAsia"/>
        </w:rPr>
        <w:t>行政院代表全然不瞭解五權分立制度與運行，</w:t>
      </w:r>
      <w:r w:rsidR="00EE4F58" w:rsidRPr="00A973A2">
        <w:rPr>
          <w:rFonts w:hAnsi="標楷體" w:hint="eastAsia"/>
        </w:rPr>
        <w:t>其引用</w:t>
      </w:r>
      <w:r w:rsidR="007340FE" w:rsidRPr="00A973A2">
        <w:rPr>
          <w:rFonts w:hAnsi="標楷體" w:hint="eastAsia"/>
        </w:rPr>
        <w:t>釋字第589號恰好是沒有行使憲法所規定之監察權，恕</w:t>
      </w:r>
      <w:r w:rsidR="00EE4F58" w:rsidRPr="00A973A2">
        <w:rPr>
          <w:rFonts w:hAnsi="標楷體" w:hint="eastAsia"/>
        </w:rPr>
        <w:t>難以</w:t>
      </w:r>
      <w:r w:rsidR="007340FE" w:rsidRPr="00A973A2">
        <w:rPr>
          <w:rFonts w:hAnsi="標楷體" w:hint="eastAsia"/>
        </w:rPr>
        <w:t>一一指駁。</w:t>
      </w:r>
    </w:p>
    <w:p w:rsidR="007340FE" w:rsidRPr="00A973A2" w:rsidRDefault="00C20920" w:rsidP="00C20920">
      <w:pPr>
        <w:pStyle w:val="2"/>
      </w:pPr>
      <w:r w:rsidRPr="00A973A2">
        <w:rPr>
          <w:rFonts w:hAnsi="標楷體" w:hint="eastAsia"/>
        </w:rPr>
        <w:t>不當黨產處理委員會（下稱黨產會）</w:t>
      </w:r>
      <w:r w:rsidR="007340FE" w:rsidRPr="00A973A2">
        <w:rPr>
          <w:rFonts w:hint="eastAsia"/>
        </w:rPr>
        <w:t>於107年7月11日所提</w:t>
      </w:r>
      <w:r w:rsidR="00A22C29" w:rsidRPr="00A973A2">
        <w:rPr>
          <w:rFonts w:hint="eastAsia"/>
        </w:rPr>
        <w:t>意見之回應：</w:t>
      </w:r>
    </w:p>
    <w:p w:rsidR="00A22C29" w:rsidRPr="00A973A2" w:rsidRDefault="001964BD" w:rsidP="00A22C29">
      <w:pPr>
        <w:pStyle w:val="3"/>
        <w:rPr>
          <w:rFonts w:hAnsi="標楷體"/>
        </w:rPr>
      </w:pPr>
      <w:r w:rsidRPr="00A973A2">
        <w:rPr>
          <w:rFonts w:hAnsi="標楷體" w:hint="eastAsia"/>
        </w:rPr>
        <w:t>黨產會稱：「</w:t>
      </w:r>
      <w:r w:rsidR="00A22C29" w:rsidRPr="00A973A2">
        <w:rPr>
          <w:rFonts w:hAnsi="標楷體" w:hint="eastAsia"/>
        </w:rPr>
        <w:t>中央或地方機關依據大審法第5條第1項第1款前段，抑或者同條項款後段聲請釋憲時，參酌大院歷來不受理決議之見解，應具體指明其行使何種職權之事項發生違憲疑義，而不得僅因其受人民陳情而聲請司法院大法官釋憲</w:t>
      </w:r>
      <w:r w:rsidRPr="00A973A2">
        <w:rPr>
          <w:rFonts w:hAnsi="標楷體" w:hint="eastAsia"/>
        </w:rPr>
        <w:t>」</w:t>
      </w:r>
      <w:r w:rsidR="00C20920" w:rsidRPr="00A973A2">
        <w:rPr>
          <w:rFonts w:hAnsi="標楷體" w:hint="eastAsia"/>
        </w:rPr>
        <w:t>，</w:t>
      </w:r>
      <w:r w:rsidRPr="00A973A2">
        <w:rPr>
          <w:rFonts w:hAnsi="標楷體" w:hint="eastAsia"/>
        </w:rPr>
        <w:t>監察院回應</w:t>
      </w:r>
      <w:r w:rsidR="00EE4F58" w:rsidRPr="00A973A2">
        <w:rPr>
          <w:rFonts w:hAnsi="標楷體" w:hint="eastAsia"/>
        </w:rPr>
        <w:t>如下</w:t>
      </w:r>
      <w:r w:rsidRPr="00A973A2">
        <w:rPr>
          <w:rFonts w:hAnsi="標楷體" w:hint="eastAsia"/>
        </w:rPr>
        <w:t>：</w:t>
      </w:r>
    </w:p>
    <w:p w:rsidR="00A22C29" w:rsidRPr="00A973A2" w:rsidRDefault="00A22C29" w:rsidP="00C20920">
      <w:pPr>
        <w:pStyle w:val="4"/>
        <w:rPr>
          <w:b/>
        </w:rPr>
      </w:pPr>
      <w:r w:rsidRPr="00A973A2">
        <w:rPr>
          <w:rFonts w:hint="eastAsia"/>
        </w:rPr>
        <w:t>本件聲請釋憲主旨：為調查「據訴，『政黨及其附隨組織不當取得財產處理條例』於105年8月10日公布施行，行政院除怠於移請覆議及聲請釋憲外，並設不當黨產處理委員會，違反『中央行政機關組織基準法』之限制，其相關行政作為違反法治國原則與正當法律程序原則等情」乙案，</w:t>
      </w:r>
      <w:r w:rsidRPr="00A973A2">
        <w:rPr>
          <w:rFonts w:hint="eastAsia"/>
          <w:b/>
          <w:u w:val="single"/>
        </w:rPr>
        <w:t>本院因行使調查權適用政黨及其附隨組織不當取得財產處理條例發生有牴觸憲法第1條、第15條、第16條、第23條、第171條第1項及憲法增修條文第3條第3、4項規定之情形</w:t>
      </w:r>
      <w:r w:rsidRPr="00A973A2">
        <w:rPr>
          <w:rFonts w:hint="eastAsia"/>
          <w:u w:val="single"/>
        </w:rPr>
        <w:t>，</w:t>
      </w:r>
      <w:r w:rsidRPr="00A973A2">
        <w:rPr>
          <w:rFonts w:hint="eastAsia"/>
        </w:rPr>
        <w:t>並與憲法所揭櫫之法治國原則下之法安定性原則、法律保留原則、法律明確性原則、比例原則及正當法律程序、權力分立與制衡原則有所扞格等疑義，爰依司法院大法官審理案件法第5條第1項第1款規定聲請解釋。（</w:t>
      </w:r>
      <w:r w:rsidR="00D3787F" w:rsidRPr="00A973A2">
        <w:rPr>
          <w:rFonts w:hint="eastAsia"/>
        </w:rPr>
        <w:t>監察</w:t>
      </w:r>
      <w:r w:rsidR="00C20920" w:rsidRPr="00A973A2">
        <w:rPr>
          <w:rFonts w:hint="eastAsia"/>
        </w:rPr>
        <w:t>院</w:t>
      </w:r>
      <w:r w:rsidR="00C20920" w:rsidRPr="00A973A2">
        <w:rPr>
          <w:rFonts w:hAnsi="標楷體" w:hint="eastAsia"/>
        </w:rPr>
        <w:t>聲請解釋憲法理由書</w:t>
      </w:r>
      <w:r w:rsidRPr="00A973A2">
        <w:rPr>
          <w:rFonts w:hint="eastAsia"/>
        </w:rPr>
        <w:t>第</w:t>
      </w:r>
      <w:r w:rsidR="00C20920" w:rsidRPr="00A973A2">
        <w:rPr>
          <w:rFonts w:hint="eastAsia"/>
        </w:rPr>
        <w:t>1</w:t>
      </w:r>
      <w:r w:rsidRPr="00A973A2">
        <w:rPr>
          <w:rFonts w:hint="eastAsia"/>
        </w:rPr>
        <w:t>頁）即指出係為「本院因行使調查權適用政黨及其附隨組織不當取得財產處理條例發生有牴觸憲法第1條、第15條、第16條、第23條、第171條第1項及憲法增修條文第3條第3、4項規定之情形」</w:t>
      </w:r>
      <w:r w:rsidR="003C4E00" w:rsidRPr="00A973A2">
        <w:rPr>
          <w:rFonts w:hint="eastAsia"/>
        </w:rPr>
        <w:t>等語，</w:t>
      </w:r>
      <w:r w:rsidR="003C4E00" w:rsidRPr="00A973A2">
        <w:rPr>
          <w:rFonts w:hint="eastAsia"/>
          <w:b/>
        </w:rPr>
        <w:t>業明確表明係屬行使調查權，</w:t>
      </w:r>
      <w:r w:rsidRPr="00A973A2">
        <w:rPr>
          <w:rFonts w:hint="eastAsia"/>
          <w:b/>
        </w:rPr>
        <w:t>不知為何黨產會沒</w:t>
      </w:r>
      <w:r w:rsidR="00D57308" w:rsidRPr="00A973A2">
        <w:rPr>
          <w:rFonts w:hint="eastAsia"/>
          <w:b/>
        </w:rPr>
        <w:t>發見</w:t>
      </w:r>
      <w:r w:rsidRPr="00A973A2">
        <w:rPr>
          <w:rFonts w:hint="eastAsia"/>
          <w:b/>
        </w:rPr>
        <w:t>？</w:t>
      </w:r>
    </w:p>
    <w:p w:rsidR="00A22C29" w:rsidRPr="00A973A2" w:rsidRDefault="008A077C" w:rsidP="001964BD">
      <w:pPr>
        <w:pStyle w:val="4"/>
        <w:rPr>
          <w:rFonts w:hAnsi="標楷體"/>
          <w:b/>
        </w:rPr>
      </w:pPr>
      <w:r w:rsidRPr="00A973A2">
        <w:rPr>
          <w:rFonts w:hAnsi="標楷體" w:hint="eastAsia"/>
        </w:rPr>
        <w:t>有關</w:t>
      </w:r>
      <w:r w:rsidR="00A22C29" w:rsidRPr="00A973A2">
        <w:rPr>
          <w:rFonts w:hAnsi="標楷體" w:hint="eastAsia"/>
        </w:rPr>
        <w:t>疑義或爭議之性質與經過，及涉及之憲法與法令條文處</w:t>
      </w:r>
      <w:r w:rsidRPr="00A973A2">
        <w:rPr>
          <w:rFonts w:hAnsi="標楷體" w:hint="eastAsia"/>
        </w:rPr>
        <w:t>，</w:t>
      </w:r>
      <w:r w:rsidRPr="00A973A2">
        <w:rPr>
          <w:rFonts w:hint="eastAsia"/>
        </w:rPr>
        <w:t>（</w:t>
      </w:r>
      <w:r w:rsidR="00D3787F" w:rsidRPr="00A973A2">
        <w:rPr>
          <w:rFonts w:hint="eastAsia"/>
        </w:rPr>
        <w:t>監察</w:t>
      </w:r>
      <w:r w:rsidRPr="00A973A2">
        <w:rPr>
          <w:rFonts w:hint="eastAsia"/>
        </w:rPr>
        <w:t>院</w:t>
      </w:r>
      <w:r w:rsidRPr="00A973A2">
        <w:rPr>
          <w:rFonts w:hAnsi="標楷體" w:hint="eastAsia"/>
        </w:rPr>
        <w:t>聲請解釋憲法理由書</w:t>
      </w:r>
      <w:r w:rsidRPr="00A973A2">
        <w:rPr>
          <w:rFonts w:hint="eastAsia"/>
        </w:rPr>
        <w:t>第6頁）</w:t>
      </w:r>
      <w:r w:rsidR="00CD3D89" w:rsidRPr="00A973A2">
        <w:rPr>
          <w:rFonts w:hint="eastAsia"/>
        </w:rPr>
        <w:t>已</w:t>
      </w:r>
      <w:r w:rsidRPr="00A973A2">
        <w:rPr>
          <w:rFonts w:hint="eastAsia"/>
        </w:rPr>
        <w:t>敘明</w:t>
      </w:r>
      <w:r w:rsidR="00A22C29" w:rsidRPr="00A973A2">
        <w:rPr>
          <w:rFonts w:hAnsi="標楷體" w:hint="eastAsia"/>
          <w:u w:val="single"/>
        </w:rPr>
        <w:t>本院於105年12月16日立案調查</w:t>
      </w:r>
      <w:r w:rsidR="00A22C29" w:rsidRPr="00A973A2">
        <w:rPr>
          <w:rFonts w:hAnsi="標楷體" w:hint="eastAsia"/>
        </w:rPr>
        <w:t>「據訴，『政黨及其附隨組織不當取得財產處理條例』於105年8月10日公布施行，行政院除怠於移請覆議及聲請釋憲外，並設不當黨產處理委員會，違反『中央行政機關組織基準法』之限制，其相關行政作為違反法治國原則與正當法律程序原則等情」乙案（關係文件二），</w:t>
      </w:r>
      <w:r w:rsidR="00A22C29" w:rsidRPr="00A973A2">
        <w:rPr>
          <w:rFonts w:hAnsi="標楷體" w:hint="eastAsia"/>
          <w:u w:val="single"/>
        </w:rPr>
        <w:t>又本院於行使調查權適用相關法律發生牴觸憲法疑義時，得依違憲審查程序向貴院大法官聲請解釋而予受理之案例均迭有前例</w:t>
      </w:r>
      <w:r w:rsidR="00A22C29" w:rsidRPr="00A973A2">
        <w:rPr>
          <w:rFonts w:hAnsi="標楷體" w:hint="eastAsia"/>
        </w:rPr>
        <w:t xml:space="preserve"> （關係文件三）。系爭條例乃為我國憲政史上首見以特別法授權行政權對特定政黨之財產要求為廣泛性之申報、調查，並採行禁止處分、逕命回復移轉財產權等具有準司法性質之行政處分之立法，恐有立法及行政侵入司法權之虞，其規範內容是否牴觸我國憲法所依據之民主憲政精神，</w:t>
      </w:r>
      <w:r w:rsidR="00A22C29" w:rsidRPr="00A973A2">
        <w:rPr>
          <w:rFonts w:hAnsi="標楷體" w:hint="eastAsia"/>
          <w:u w:val="single"/>
        </w:rPr>
        <w:t>實具有憲法上之原則重要性</w:t>
      </w:r>
      <w:r w:rsidR="00A22C29" w:rsidRPr="00A973A2">
        <w:rPr>
          <w:rFonts w:hAnsi="標楷體" w:hint="eastAsia"/>
        </w:rPr>
        <w:t>，有予以違憲審查之必要，爰依司法院大法官審理案件法第5條第1項第1款規定，聲請解釋</w:t>
      </w:r>
      <w:r w:rsidR="001964BD" w:rsidRPr="00A973A2">
        <w:rPr>
          <w:rFonts w:hAnsi="標楷體" w:hint="eastAsia"/>
        </w:rPr>
        <w:t>等語</w:t>
      </w:r>
      <w:r w:rsidR="00A22C29" w:rsidRPr="00A973A2">
        <w:rPr>
          <w:rFonts w:hAnsi="標楷體" w:hint="eastAsia"/>
        </w:rPr>
        <w:t>。</w:t>
      </w:r>
      <w:r w:rsidR="001964BD" w:rsidRPr="00A973A2">
        <w:rPr>
          <w:rFonts w:hAnsi="標楷體" w:hint="eastAsia"/>
          <w:b/>
        </w:rPr>
        <w:t>不但再次重申是行使調查權，更表明該「法令違憲問題具有憲法重大客觀公益」</w:t>
      </w:r>
    </w:p>
    <w:p w:rsidR="00EF3DDB" w:rsidRPr="00A973A2" w:rsidRDefault="006E2409" w:rsidP="00EF3DDB">
      <w:pPr>
        <w:pStyle w:val="3"/>
        <w:rPr>
          <w:rFonts w:hAnsi="標楷體"/>
        </w:rPr>
      </w:pPr>
      <w:r w:rsidRPr="00A973A2">
        <w:rPr>
          <w:rFonts w:hAnsi="標楷體" w:hint="eastAsia"/>
        </w:rPr>
        <w:t>黨產會稱：1.「監察院調查權本身並非獨立之監察權，而係基於糾正、彈劾等監察權之目的所為之，則其調查權之行使自應受監察權目的之限制。</w:t>
      </w:r>
      <w:r w:rsidRPr="00A973A2">
        <w:rPr>
          <w:rFonts w:hAnsi="標楷體"/>
        </w:rPr>
        <w:t>…</w:t>
      </w:r>
      <w:r w:rsidR="008A077C" w:rsidRPr="00A973A2">
        <w:rPr>
          <w:rFonts w:hAnsi="標楷體" w:hint="eastAsia"/>
        </w:rPr>
        <w:t>…</w:t>
      </w:r>
      <w:r w:rsidRPr="00A973A2">
        <w:rPr>
          <w:rFonts w:hAnsi="標楷體" w:hint="eastAsia"/>
        </w:rPr>
        <w:t>監察院之調查權屬輔助性及工具性權力，其存在及行使應受制度目的所限制，亦即，監察院僅在為行使彈劾、糾舉、糾正權之必要範圍內始得行使其調查權。」、2.「黨產條例係由立法者所制定，屬立法權之行使，故行政機關有無違法、失職尚與黨產條例有無違憲無關，不問黨產條例是否有違憲疑義，皆無法用以認定行政權有違法、失職之情事，監察院自無從予以糾正或彈劾。</w:t>
      </w:r>
      <w:r w:rsidR="00EF3DDB" w:rsidRPr="00A973A2">
        <w:rPr>
          <w:rFonts w:hAnsi="標楷體" w:hint="eastAsia"/>
        </w:rPr>
        <w:t>」、3.「</w:t>
      </w:r>
      <w:r w:rsidRPr="00A973A2">
        <w:rPr>
          <w:rFonts w:hAnsi="標楷體" w:hint="eastAsia"/>
        </w:rPr>
        <w:t>監察院係以民眾陳情黨產條例違憲為由，直接就立法者甫於105年制定之黨產條例主張違憲，顯見本件不僅與監察院事後對公務人員或其所屬機關之彈劾及糾舉（糾正），以及為行使該等彈劾、糾舉之調查等監察權之行使無關，亦與憲法委託監察院行使監察權以監督、制衡行政權之本旨無涉。」</w:t>
      </w:r>
      <w:r w:rsidR="00367FAD" w:rsidRPr="00A973A2">
        <w:rPr>
          <w:rFonts w:hAnsi="標楷體" w:hint="eastAsia"/>
        </w:rPr>
        <w:t>云云。</w:t>
      </w:r>
      <w:r w:rsidR="00EF3DDB" w:rsidRPr="00A973A2">
        <w:rPr>
          <w:rFonts w:hAnsi="標楷體" w:hint="eastAsia"/>
        </w:rPr>
        <w:t>監察院回應如下：</w:t>
      </w:r>
    </w:p>
    <w:p w:rsidR="006E2409" w:rsidRPr="00A973A2" w:rsidRDefault="006E2409" w:rsidP="00EF3DDB">
      <w:pPr>
        <w:pStyle w:val="4"/>
        <w:rPr>
          <w:rFonts w:hAnsi="標楷體"/>
        </w:rPr>
      </w:pPr>
      <w:r w:rsidRPr="00A973A2">
        <w:rPr>
          <w:rFonts w:hAnsi="標楷體" w:hint="eastAsia"/>
        </w:rPr>
        <w:t>有關監察調查權是否</w:t>
      </w:r>
      <w:r w:rsidR="00CD2448" w:rsidRPr="00A973A2">
        <w:rPr>
          <w:rFonts w:hAnsi="標楷體" w:hint="eastAsia"/>
        </w:rPr>
        <w:t>僅為工具性權力，業如前述。退萬步言，</w:t>
      </w:r>
      <w:r w:rsidR="00EF3DDB" w:rsidRPr="00A973A2">
        <w:rPr>
          <w:rFonts w:hAnsi="標楷體" w:hint="eastAsia"/>
        </w:rPr>
        <w:t>縱認為行使調查權</w:t>
      </w:r>
      <w:r w:rsidR="00CD2448" w:rsidRPr="00A973A2">
        <w:rPr>
          <w:rFonts w:hAnsi="標楷體" w:hint="eastAsia"/>
        </w:rPr>
        <w:t>僅限於</w:t>
      </w:r>
      <w:r w:rsidR="00EF3DDB" w:rsidRPr="00A973A2">
        <w:rPr>
          <w:rFonts w:hAnsi="標楷體" w:hint="eastAsia"/>
        </w:rPr>
        <w:t>黨產會所稱</w:t>
      </w:r>
      <w:r w:rsidR="00CD2448" w:rsidRPr="00A973A2">
        <w:rPr>
          <w:rFonts w:hAnsi="標楷體" w:hint="eastAsia"/>
        </w:rPr>
        <w:t>「</w:t>
      </w:r>
      <w:r w:rsidR="00EF3DDB" w:rsidRPr="00A973A2">
        <w:rPr>
          <w:rFonts w:hAnsi="標楷體" w:hint="eastAsia"/>
          <w:b/>
        </w:rPr>
        <w:t>監察院僅在為行使彈劾、糾舉、糾正權之必要範圍內始得行使其調查權」</w:t>
      </w:r>
      <w:r w:rsidR="00B366A6" w:rsidRPr="00A973A2">
        <w:rPr>
          <w:rFonts w:hAnsi="標楷體" w:hint="eastAsia"/>
          <w:b/>
        </w:rPr>
        <w:t>，</w:t>
      </w:r>
      <w:r w:rsidR="00EF3DDB" w:rsidRPr="00A973A2">
        <w:rPr>
          <w:rFonts w:hAnsi="標楷體" w:hint="eastAsia"/>
          <w:b/>
        </w:rPr>
        <w:t>請問所謂「必要範圍」由誰認定</w:t>
      </w:r>
      <w:r w:rsidR="00B366A6" w:rsidRPr="00A973A2">
        <w:rPr>
          <w:rFonts w:hAnsi="標楷體" w:hint="eastAsia"/>
          <w:b/>
        </w:rPr>
        <w:t>？</w:t>
      </w:r>
      <w:r w:rsidR="00EF3DDB" w:rsidRPr="00A973A2">
        <w:rPr>
          <w:rFonts w:hAnsi="標楷體" w:hint="eastAsia"/>
          <w:b/>
        </w:rPr>
        <w:t>是行政權、司法權或是黨產會</w:t>
      </w:r>
      <w:r w:rsidR="006B138F" w:rsidRPr="00A973A2">
        <w:rPr>
          <w:rFonts w:hAnsi="標楷體" w:hint="eastAsia"/>
          <w:b/>
        </w:rPr>
        <w:t>，為何「必要範圍」是由其他權力認定，監察院作為憲法最高監察機關不能認定，理由為何？此命題邏輯亦如伍、一所述。</w:t>
      </w:r>
    </w:p>
    <w:p w:rsidR="006B138F" w:rsidRPr="00A973A2" w:rsidRDefault="006B138F" w:rsidP="00D1392A">
      <w:pPr>
        <w:pStyle w:val="4"/>
        <w:rPr>
          <w:rFonts w:hAnsi="標楷體"/>
        </w:rPr>
      </w:pPr>
      <w:r w:rsidRPr="00A973A2">
        <w:rPr>
          <w:rFonts w:hAnsi="標楷體" w:hint="eastAsia"/>
        </w:rPr>
        <w:t>其稱「黨產條例係由立法者所制定，屬立法權之行使，故行政機關有無違法、失職尚與黨產條例有無違憲無關，不問黨產條例是否有違憲疑義，皆無法用以認定行政權有違法、失職之情事，監察院自無從予以糾正或彈劾。」</w:t>
      </w:r>
      <w:r w:rsidRPr="00A973A2">
        <w:rPr>
          <w:rFonts w:hAnsi="標楷體" w:hint="eastAsia"/>
          <w:b/>
        </w:rPr>
        <w:t>所有的法律均為立法權所制</w:t>
      </w:r>
      <w:r w:rsidR="008A077C" w:rsidRPr="00A973A2">
        <w:rPr>
          <w:rFonts w:hAnsi="標楷體" w:hint="eastAsia"/>
          <w:b/>
        </w:rPr>
        <w:t>定</w:t>
      </w:r>
      <w:r w:rsidRPr="00A973A2">
        <w:rPr>
          <w:rFonts w:hAnsi="標楷體" w:hint="eastAsia"/>
          <w:b/>
        </w:rPr>
        <w:t>，此問題核心基礎在於監察權有無法令違憲審查權的發動權，</w:t>
      </w:r>
      <w:r w:rsidR="00D1392A" w:rsidRPr="00A973A2">
        <w:rPr>
          <w:rFonts w:hAnsi="標楷體" w:hint="eastAsia"/>
          <w:b/>
        </w:rPr>
        <w:t>在為合法性監督下，作為最高監察機關是否必須遵照憲法第171條規定：「法律與憲法牴觸者無效。法律與憲法有無牴觸發生疑義時，由司法院解釋之。」為合憲性審查，</w:t>
      </w:r>
      <w:r w:rsidR="00D1392A" w:rsidRPr="00A973A2">
        <w:rPr>
          <w:rFonts w:hAnsi="標楷體" w:hint="eastAsia"/>
        </w:rPr>
        <w:t>業如前述。</w:t>
      </w:r>
    </w:p>
    <w:p w:rsidR="00D1392A" w:rsidRPr="00A973A2" w:rsidRDefault="00D1392A" w:rsidP="00D1392A">
      <w:pPr>
        <w:pStyle w:val="4"/>
        <w:rPr>
          <w:rFonts w:hAnsi="標楷體"/>
        </w:rPr>
      </w:pPr>
      <w:r w:rsidRPr="00A973A2">
        <w:rPr>
          <w:rFonts w:hAnsi="標楷體" w:hint="eastAsia"/>
        </w:rPr>
        <w:t>本件提出調查報告</w:t>
      </w:r>
      <w:r w:rsidR="00032BDC" w:rsidRPr="00A973A2">
        <w:rPr>
          <w:rFonts w:hAnsi="標楷體" w:hint="eastAsia"/>
        </w:rPr>
        <w:t>時</w:t>
      </w:r>
      <w:r w:rsidRPr="00A973A2">
        <w:rPr>
          <w:rFonts w:hAnsi="標楷體" w:hint="eastAsia"/>
        </w:rPr>
        <w:t>黨產條例已公布生效，其相關爭議持續不斷，監察院就行政行為為合法性審查，</w:t>
      </w:r>
      <w:r w:rsidR="0080111F" w:rsidRPr="00A973A2">
        <w:rPr>
          <w:rFonts w:hAnsi="標楷體" w:hint="eastAsia"/>
        </w:rPr>
        <w:t>並無背離所謂事後權（遍觀憲法本文從無稱監察權為事後權之規範）。</w:t>
      </w:r>
      <w:r w:rsidR="0080111F" w:rsidRPr="00A973A2">
        <w:rPr>
          <w:rStyle w:val="aff"/>
          <w:rFonts w:hAnsi="標楷體"/>
        </w:rPr>
        <w:footnoteReference w:id="30"/>
      </w:r>
    </w:p>
    <w:p w:rsidR="00DB674B" w:rsidRPr="00A973A2" w:rsidRDefault="0080111F" w:rsidP="00DB674B">
      <w:pPr>
        <w:pStyle w:val="3"/>
        <w:rPr>
          <w:rFonts w:hAnsi="標楷體"/>
        </w:rPr>
      </w:pPr>
      <w:r w:rsidRPr="00A973A2">
        <w:rPr>
          <w:rFonts w:hAnsi="標楷體" w:hint="eastAsia"/>
        </w:rPr>
        <w:t>黨產會稱</w:t>
      </w:r>
      <w:r w:rsidR="00DB674B" w:rsidRPr="00A973A2">
        <w:rPr>
          <w:rFonts w:hAnsi="標楷體" w:hint="eastAsia"/>
        </w:rPr>
        <w:t>：「司法違憲審查制度一直存在「抗多數決的難題與困境」</w:t>
      </w:r>
      <w:r w:rsidR="0008645C" w:rsidRPr="00A973A2">
        <w:rPr>
          <w:rStyle w:val="aff"/>
          <w:rFonts w:hAnsi="標楷體"/>
        </w:rPr>
        <w:footnoteReference w:id="31"/>
      </w:r>
      <w:r w:rsidR="00DB674B" w:rsidRPr="00A973A2">
        <w:rPr>
          <w:rFonts w:hAnsi="標楷體" w:hint="eastAsia"/>
        </w:rPr>
        <w:t>(</w:t>
      </w:r>
      <w:proofErr w:type="spellStart"/>
      <w:r w:rsidR="00DB674B" w:rsidRPr="00A973A2">
        <w:rPr>
          <w:rFonts w:hAnsi="標楷體" w:hint="eastAsia"/>
        </w:rPr>
        <w:t>countermajoritarian</w:t>
      </w:r>
      <w:proofErr w:type="spellEnd"/>
      <w:r w:rsidR="00DB674B" w:rsidRPr="00A973A2">
        <w:rPr>
          <w:rFonts w:hAnsi="標楷體" w:hint="eastAsia"/>
        </w:rPr>
        <w:t xml:space="preserve"> difficulty)：何以多數民意支持通過的法案，得由不具有民意基礎的，不直接負政治責任的大法官宣告違憲？違憲審查是否存在著「反多數」的性格？是故，為了調和憲政秩序的控制與民主國原則之衝突，避免違憲審查制度表面上係為維護憲政秩序與權力分立價值，實際上卻反而過度擴權進而反噬或侵害其他憲政部門之權限與憲法價值，故除了前述基於司法權本質與事務本質所生之限制或要求外，吾人亦相當重視大法官受理案件是否符合法律所設之規定。基於對權力分立原則之維護及司法抗多數難題之緩和，大法官關於違憲審查權限之發動與行使，必須詳加檢驗聲請釋憲者是否確實符合大審法第5條第1項各款之要件規定，避免釋憲部門過度浮濫受理案件，忽略了規範之限制與制度意旨外，造成權力分立之破壞與失衡。」</w:t>
      </w:r>
      <w:r w:rsidR="00C55F9F" w:rsidRPr="00A973A2">
        <w:rPr>
          <w:rFonts w:hAnsi="標楷體" w:hint="eastAsia"/>
        </w:rPr>
        <w:t>云云</w:t>
      </w:r>
      <w:r w:rsidR="00DB674B" w:rsidRPr="00A973A2">
        <w:rPr>
          <w:rFonts w:hAnsi="標楷體" w:hint="eastAsia"/>
        </w:rPr>
        <w:t>，監察院回應如下：</w:t>
      </w:r>
    </w:p>
    <w:p w:rsidR="0080111F" w:rsidRPr="00A973A2" w:rsidRDefault="00DB674B" w:rsidP="0008645C">
      <w:pPr>
        <w:pStyle w:val="32"/>
        <w:ind w:left="1361" w:firstLine="680"/>
        <w:rPr>
          <w:rFonts w:hAnsi="標楷體"/>
          <w:b/>
        </w:rPr>
      </w:pPr>
      <w:r w:rsidRPr="00A973A2">
        <w:rPr>
          <w:rFonts w:hAnsi="標楷體" w:hint="eastAsia"/>
        </w:rPr>
        <w:t>該論點似採所謂美國「司法最小主義」與「結構最小主義」</w:t>
      </w:r>
      <w:r w:rsidR="00032BDC" w:rsidRPr="00A973A2">
        <w:rPr>
          <w:rFonts w:hAnsi="標楷體" w:hint="eastAsia"/>
        </w:rPr>
        <w:t>，</w:t>
      </w:r>
      <w:r w:rsidR="009566D4" w:rsidRPr="00A973A2">
        <w:rPr>
          <w:rFonts w:hAnsi="標楷體" w:hint="eastAsia"/>
          <w:b/>
        </w:rPr>
        <w:t>然依據</w:t>
      </w:r>
      <w:r w:rsidR="00032BDC" w:rsidRPr="00A973A2">
        <w:rPr>
          <w:rFonts w:hAnsi="標楷體" w:hint="eastAsia"/>
          <w:b/>
        </w:rPr>
        <w:t>西元</w:t>
      </w:r>
      <w:r w:rsidR="003C3FB4" w:rsidRPr="00A973A2">
        <w:rPr>
          <w:rFonts w:hAnsi="標楷體" w:hint="eastAsia"/>
          <w:b/>
        </w:rPr>
        <w:t>2012年2月</w:t>
      </w:r>
      <w:r w:rsidR="009566D4" w:rsidRPr="00A973A2">
        <w:rPr>
          <w:rFonts w:hAnsi="標楷體" w:hint="eastAsia"/>
          <w:b/>
        </w:rPr>
        <w:t>聯邦最高法院訴訟規則第10條（依據調卷複審令狀</w:t>
      </w:r>
      <w:r w:rsidR="00470FBF" w:rsidRPr="00A973A2">
        <w:rPr>
          <w:rFonts w:hAnsi="標楷體" w:hint="eastAsia"/>
          <w:b/>
        </w:rPr>
        <w:t>進行複審時考量事項）</w:t>
      </w:r>
      <w:r w:rsidR="003C3FB4" w:rsidRPr="00A973A2">
        <w:rPr>
          <w:rFonts w:hAnsi="標楷體" w:hint="eastAsia"/>
          <w:b/>
        </w:rPr>
        <w:t>規定：「</w:t>
      </w:r>
      <w:r w:rsidR="00470FBF" w:rsidRPr="00A973A2">
        <w:rPr>
          <w:rFonts w:hAnsi="標楷體" w:hint="eastAsia"/>
          <w:b/>
        </w:rPr>
        <w:t>對於調卷複審令狀之審查，並非基於權利，而是基於司法裁量權，調卷複審令狀聲請僅有具備必要是由始得批准</w:t>
      </w:r>
      <w:r w:rsidR="003C3FB4" w:rsidRPr="00A973A2">
        <w:rPr>
          <w:rFonts w:hAnsi="標楷體" w:hint="eastAsia"/>
          <w:b/>
        </w:rPr>
        <w:t>。</w:t>
      </w:r>
      <w:r w:rsidR="003C3FB4" w:rsidRPr="00A973A2">
        <w:rPr>
          <w:rFonts w:hAnsi="標楷體"/>
          <w:b/>
        </w:rPr>
        <w:t>……</w:t>
      </w:r>
      <w:r w:rsidR="003C3FB4" w:rsidRPr="00A973A2">
        <w:rPr>
          <w:rFonts w:hAnsi="標楷體" w:hint="eastAsia"/>
          <w:b/>
        </w:rPr>
        <w:t>」</w:t>
      </w:r>
      <w:r w:rsidR="00470FBF" w:rsidRPr="00A973A2">
        <w:rPr>
          <w:rFonts w:hAnsi="標楷體" w:hint="eastAsia"/>
          <w:b/>
        </w:rPr>
        <w:t>與我國截然不同，在美國並非聲請人之權利；而在我國</w:t>
      </w:r>
      <w:r w:rsidR="00032BDC" w:rsidRPr="00A973A2">
        <w:rPr>
          <w:rFonts w:hAnsi="標楷體" w:hint="eastAsia"/>
          <w:b/>
        </w:rPr>
        <w:t>司法院大法官審理案件法</w:t>
      </w:r>
      <w:r w:rsidR="00CC41C1" w:rsidRPr="00A973A2">
        <w:rPr>
          <w:rFonts w:hAnsi="標楷體" w:hint="eastAsia"/>
          <w:b/>
        </w:rPr>
        <w:t>就法律違憲審查之</w:t>
      </w:r>
      <w:r w:rsidR="00470FBF" w:rsidRPr="00A973A2">
        <w:rPr>
          <w:rFonts w:hAnsi="標楷體" w:hint="eastAsia"/>
          <w:b/>
        </w:rPr>
        <w:t>憲法依據係為</w:t>
      </w:r>
      <w:r w:rsidR="00CC41C1" w:rsidRPr="00A973A2">
        <w:rPr>
          <w:rFonts w:hAnsi="標楷體" w:hint="eastAsia"/>
          <w:b/>
        </w:rPr>
        <w:t>憲法第171條規定，監察院作為最高監察機關在未訂定</w:t>
      </w:r>
      <w:r w:rsidR="00B366A6" w:rsidRPr="00A973A2">
        <w:rPr>
          <w:rFonts w:hAnsi="標楷體" w:hint="eastAsia"/>
          <w:b/>
        </w:rPr>
        <w:t>司法院大法官審理案件法</w:t>
      </w:r>
      <w:r w:rsidR="00CC41C1" w:rsidRPr="00A973A2">
        <w:rPr>
          <w:rFonts w:hAnsi="標楷體" w:hint="eastAsia"/>
          <w:b/>
        </w:rPr>
        <w:t>，基於監察權發見「法律與憲法有無牴觸發生疑義時」咨請司法院解釋，合乎五權憲法法理，</w:t>
      </w:r>
      <w:r w:rsidR="00CC41C1" w:rsidRPr="00A973A2">
        <w:rPr>
          <w:rFonts w:hAnsi="標楷體" w:hint="eastAsia"/>
        </w:rPr>
        <w:t>業如前述，就聲請憲法解釋部分係屬監察院權利，而不同於美國聯邦最高法院為「司法裁量權」，況美國聯邦最高法院採分散審查權，各法院均有違憲審查權，因屬「司法裁量權」且「個案審理」</w:t>
      </w:r>
      <w:r w:rsidR="0008645C" w:rsidRPr="00A973A2">
        <w:rPr>
          <w:rFonts w:hAnsi="標楷體" w:hint="eastAsia"/>
        </w:rPr>
        <w:t>受理與否，並無侵害</w:t>
      </w:r>
      <w:r w:rsidR="00CC41C1" w:rsidRPr="00A973A2">
        <w:rPr>
          <w:rFonts w:hAnsi="標楷體" w:hint="eastAsia"/>
        </w:rPr>
        <w:t>行政權與</w:t>
      </w:r>
      <w:r w:rsidR="0008645C" w:rsidRPr="00A973A2">
        <w:rPr>
          <w:rFonts w:hAnsi="標楷體" w:hint="eastAsia"/>
        </w:rPr>
        <w:t>立法權權力分立界限。反觀我國係屬大陸法系國家</w:t>
      </w:r>
      <w:r w:rsidR="00B366A6" w:rsidRPr="00A973A2">
        <w:rPr>
          <w:rFonts w:hAnsi="標楷體" w:hint="eastAsia"/>
        </w:rPr>
        <w:t>，</w:t>
      </w:r>
      <w:r w:rsidR="0008645C" w:rsidRPr="00A973A2">
        <w:rPr>
          <w:rFonts w:hAnsi="標楷體" w:hint="eastAsia"/>
        </w:rPr>
        <w:t>在憲法、</w:t>
      </w:r>
      <w:r w:rsidR="00032BDC" w:rsidRPr="00A973A2">
        <w:rPr>
          <w:rFonts w:hAnsi="標楷體" w:hint="eastAsia"/>
        </w:rPr>
        <w:t>司法院大法官審理案件法</w:t>
      </w:r>
      <w:r w:rsidR="0008645C" w:rsidRPr="00A973A2">
        <w:rPr>
          <w:rFonts w:hAnsi="標楷體" w:hint="eastAsia"/>
        </w:rPr>
        <w:t>、歷年司法權與監察權互動所形成憲法程序慣例，形成監察權與司法權之權力分立之界限，司法院大法官承認監察權（含調查權）之「抽象違憲審查權」發動，實際保障監察權違法審查與違憲審查之抽象存在，而監察權就司法院大法官「抽象違憲審查權」執行之監督，保障司法院大法官「抽象法令審查權」之具體存在，兩者相輔相成。</w:t>
      </w:r>
      <w:r w:rsidR="0008645C" w:rsidRPr="00A973A2">
        <w:rPr>
          <w:rFonts w:hAnsi="標楷體" w:hint="eastAsia"/>
          <w:b/>
        </w:rPr>
        <w:t>因採司法最小</w:t>
      </w:r>
      <w:r w:rsidR="00B366A6" w:rsidRPr="00A973A2">
        <w:rPr>
          <w:rFonts w:hAnsi="標楷體" w:hint="eastAsia"/>
          <w:b/>
        </w:rPr>
        <w:t>主義</w:t>
      </w:r>
      <w:r w:rsidR="0008645C" w:rsidRPr="00A973A2">
        <w:rPr>
          <w:rFonts w:hAnsi="標楷體" w:hint="eastAsia"/>
          <w:b/>
        </w:rPr>
        <w:t>或結構最小</w:t>
      </w:r>
      <w:r w:rsidR="00B366A6" w:rsidRPr="00A973A2">
        <w:rPr>
          <w:rFonts w:hAnsi="標楷體" w:hint="eastAsia"/>
          <w:b/>
        </w:rPr>
        <w:t>主義，</w:t>
      </w:r>
      <w:r w:rsidR="0008645C" w:rsidRPr="00A973A2">
        <w:rPr>
          <w:rFonts w:hAnsi="標楷體" w:hint="eastAsia"/>
          <w:b/>
        </w:rPr>
        <w:t>就黨產</w:t>
      </w:r>
      <w:r w:rsidR="00032BDC" w:rsidRPr="00A973A2">
        <w:rPr>
          <w:rFonts w:hAnsi="標楷體" w:hint="eastAsia"/>
          <w:b/>
        </w:rPr>
        <w:t>條例</w:t>
      </w:r>
      <w:r w:rsidR="0008645C" w:rsidRPr="00A973A2">
        <w:rPr>
          <w:rFonts w:hAnsi="標楷體" w:hint="eastAsia"/>
          <w:b/>
        </w:rPr>
        <w:t>司法權不敢或不欲審查，而改變此種長年監察權與司法權憲政運作，究竟是否符合司法最小主義，非無疑義。</w:t>
      </w:r>
    </w:p>
    <w:p w:rsidR="006040CC" w:rsidRPr="00A973A2" w:rsidRDefault="006040CC" w:rsidP="006040CC">
      <w:pPr>
        <w:pStyle w:val="3"/>
        <w:rPr>
          <w:rFonts w:hAnsi="標楷體"/>
        </w:rPr>
      </w:pPr>
      <w:r w:rsidRPr="00A973A2">
        <w:rPr>
          <w:rFonts w:hAnsi="標楷體" w:hint="eastAsia"/>
        </w:rPr>
        <w:t>黨產會稱：「基於權力分立原則之精神，各機關聲請釋憲亦應考量其</w:t>
      </w:r>
      <w:r w:rsidR="00032BDC" w:rsidRPr="00A973A2">
        <w:rPr>
          <w:rFonts w:hAnsi="標楷體" w:hint="eastAsia"/>
        </w:rPr>
        <w:t>『</w:t>
      </w:r>
      <w:r w:rsidRPr="00A973A2">
        <w:rPr>
          <w:rFonts w:hAnsi="標楷體" w:hint="eastAsia"/>
        </w:rPr>
        <w:t>機關功能理論</w:t>
      </w:r>
      <w:r w:rsidR="00032BDC" w:rsidRPr="00A973A2">
        <w:rPr>
          <w:rFonts w:hAnsi="標楷體" w:hint="eastAsia"/>
        </w:rPr>
        <w:t>』</w:t>
      </w:r>
      <w:r w:rsidRPr="00A973A2">
        <w:rPr>
          <w:rFonts w:hAnsi="標楷體" w:hint="eastAsia"/>
        </w:rPr>
        <w:t>與</w:t>
      </w:r>
      <w:r w:rsidR="00032BDC" w:rsidRPr="00A973A2">
        <w:rPr>
          <w:rFonts w:hAnsi="標楷體" w:hint="eastAsia"/>
        </w:rPr>
        <w:t>『</w:t>
      </w:r>
      <w:r w:rsidRPr="00A973A2">
        <w:rPr>
          <w:rFonts w:hAnsi="標楷體" w:hint="eastAsia"/>
        </w:rPr>
        <w:t>核心權限理論</w:t>
      </w:r>
      <w:r w:rsidR="00032BDC" w:rsidRPr="00A973A2">
        <w:rPr>
          <w:rFonts w:hAnsi="標楷體" w:hint="eastAsia"/>
        </w:rPr>
        <w:t>』</w:t>
      </w:r>
      <w:r w:rsidRPr="00A973A2">
        <w:rPr>
          <w:rFonts w:hAnsi="標楷體" w:hint="eastAsia"/>
        </w:rPr>
        <w:t>，聲請機關針對其職權行使認為有憲法疑義或法令違憲之情事欲聲請釋憲，</w:t>
      </w:r>
      <w:r w:rsidRPr="00A973A2">
        <w:rPr>
          <w:rFonts w:hAnsi="標楷體" w:hint="eastAsia"/>
          <w:b/>
        </w:rPr>
        <w:t>應指行使其憲法上核心職權，而不及於手段或附屬法定職權，否則恐有藉職權行使之名義而任意開啟釋憲程序，干擾其他機關行使權力之疑慮。</w:t>
      </w:r>
      <w:r w:rsidRPr="00A973A2">
        <w:rPr>
          <w:rFonts w:hAnsi="標楷體" w:hint="eastAsia"/>
        </w:rPr>
        <w:t>」等語，監察院回應如下：</w:t>
      </w:r>
    </w:p>
    <w:p w:rsidR="006040CC" w:rsidRPr="00A973A2" w:rsidRDefault="00FF2A8C" w:rsidP="003C3FB4">
      <w:pPr>
        <w:pStyle w:val="32"/>
        <w:ind w:left="1361" w:firstLine="680"/>
        <w:rPr>
          <w:rFonts w:hAnsi="標楷體"/>
        </w:rPr>
      </w:pPr>
      <w:r w:rsidRPr="00A973A2">
        <w:rPr>
          <w:rFonts w:hAnsi="標楷體" w:hint="eastAsia"/>
        </w:rPr>
        <w:t>黨產會於本問題從「機關功能理論」與「核心權限理論」推論</w:t>
      </w:r>
      <w:r w:rsidR="00032BDC" w:rsidRPr="00A973A2">
        <w:rPr>
          <w:rFonts w:hAnsi="標楷體" w:hint="eastAsia"/>
        </w:rPr>
        <w:t>，</w:t>
      </w:r>
      <w:r w:rsidRPr="00A973A2">
        <w:rPr>
          <w:rFonts w:hAnsi="標楷體" w:hint="eastAsia"/>
        </w:rPr>
        <w:t>「</w:t>
      </w:r>
      <w:r w:rsidRPr="00A973A2">
        <w:rPr>
          <w:rFonts w:hAnsi="標楷體" w:hint="eastAsia"/>
          <w:b/>
        </w:rPr>
        <w:t>因其就其本身之任務及職權最為熟悉，且可期待其相較於（非被委託任務及權限之）其他機關更明瞭是否適用憲法發生疑義或適用法令發生抵觸憲法之疑義，故立法者乃以機關</w:t>
      </w:r>
      <w:r w:rsidR="00032BDC" w:rsidRPr="00A973A2">
        <w:rPr>
          <w:rFonts w:hAnsi="標楷體" w:hint="eastAsia"/>
        </w:rPr>
        <w:t>『</w:t>
      </w:r>
      <w:r w:rsidRPr="00A973A2">
        <w:rPr>
          <w:rFonts w:hAnsi="標楷體" w:hint="eastAsia"/>
          <w:b/>
        </w:rPr>
        <w:t>行使職權</w:t>
      </w:r>
      <w:r w:rsidR="00032BDC" w:rsidRPr="00A973A2">
        <w:rPr>
          <w:rFonts w:hAnsi="標楷體" w:hint="eastAsia"/>
        </w:rPr>
        <w:t>』</w:t>
      </w:r>
      <w:r w:rsidRPr="00A973A2">
        <w:rPr>
          <w:rFonts w:hAnsi="標楷體" w:hint="eastAsia"/>
          <w:b/>
        </w:rPr>
        <w:t>作為該機關聲請釋憲之要件，以該機關而非他機關得聲請釋憲，此亦符合事物本質及功能分配原理，</w:t>
      </w:r>
      <w:r w:rsidRPr="00A973A2">
        <w:rPr>
          <w:rFonts w:hAnsi="標楷體" w:hint="eastAsia"/>
        </w:rPr>
        <w:t>難謂過度限制釋憲權之發動及損及大法官行使釋憲權之核心領域，更無侵害他機關履行憲法或法律所委託職務之核心領域可言。循此意旨以論，中央機關依據系爭規定聲請釋憲時，</w:t>
      </w:r>
      <w:r w:rsidRPr="00A973A2">
        <w:rPr>
          <w:rFonts w:hAnsi="標楷體" w:hint="eastAsia"/>
          <w:b/>
          <w:u w:val="single"/>
        </w:rPr>
        <w:t>必須符合</w:t>
      </w:r>
      <w:r w:rsidR="00032BDC" w:rsidRPr="00A973A2">
        <w:rPr>
          <w:rFonts w:hAnsi="標楷體" w:hint="eastAsia"/>
          <w:b/>
          <w:u w:val="single"/>
        </w:rPr>
        <w:t>『</w:t>
      </w:r>
      <w:r w:rsidRPr="00A973A2">
        <w:rPr>
          <w:rFonts w:hAnsi="標楷體" w:hint="eastAsia"/>
          <w:b/>
          <w:u w:val="single"/>
        </w:rPr>
        <w:t>行使職權</w:t>
      </w:r>
      <w:r w:rsidR="00032BDC" w:rsidRPr="00A973A2">
        <w:rPr>
          <w:rFonts w:hAnsi="標楷體" w:hint="eastAsia"/>
          <w:b/>
          <w:u w:val="single"/>
        </w:rPr>
        <w:t>』</w:t>
      </w:r>
      <w:r w:rsidRPr="00A973A2">
        <w:rPr>
          <w:rFonts w:hAnsi="標楷體" w:hint="eastAsia"/>
          <w:b/>
          <w:u w:val="single"/>
        </w:rPr>
        <w:t>及</w:t>
      </w:r>
      <w:r w:rsidR="00032BDC" w:rsidRPr="00A973A2">
        <w:rPr>
          <w:rFonts w:hAnsi="標楷體" w:hint="eastAsia"/>
          <w:b/>
          <w:u w:val="single"/>
        </w:rPr>
        <w:t>『</w:t>
      </w:r>
      <w:r w:rsidRPr="00A973A2">
        <w:rPr>
          <w:rFonts w:hAnsi="標楷體" w:hint="eastAsia"/>
          <w:b/>
          <w:u w:val="single"/>
        </w:rPr>
        <w:t>適用憲法發生疑義，或適用法律與命令發生有牴觸憲法之疑義</w:t>
      </w:r>
      <w:r w:rsidR="00032BDC" w:rsidRPr="00A973A2">
        <w:rPr>
          <w:rFonts w:hAnsi="標楷體" w:hint="eastAsia"/>
          <w:b/>
          <w:u w:val="single"/>
        </w:rPr>
        <w:t>』</w:t>
      </w:r>
      <w:r w:rsidRPr="00A973A2">
        <w:rPr>
          <w:rFonts w:hAnsi="標楷體" w:hint="eastAsia"/>
          <w:b/>
          <w:u w:val="single"/>
        </w:rPr>
        <w:t>等要件，否則要件不符合，大法官應不予受理。</w:t>
      </w:r>
      <w:r w:rsidRPr="00A973A2">
        <w:rPr>
          <w:rFonts w:hAnsi="標楷體" w:hint="eastAsia"/>
        </w:rPr>
        <w:t>」</w:t>
      </w:r>
      <w:r w:rsidR="00587A40" w:rsidRPr="00A973A2">
        <w:rPr>
          <w:rFonts w:hAnsi="標楷體" w:hint="eastAsia"/>
        </w:rPr>
        <w:t>等語，進而稱「大審法第5條第1項第1款，所稱</w:t>
      </w:r>
      <w:r w:rsidR="00032BDC" w:rsidRPr="00A973A2">
        <w:rPr>
          <w:rFonts w:hAnsi="標楷體" w:hint="eastAsia"/>
        </w:rPr>
        <w:t>『</w:t>
      </w:r>
      <w:r w:rsidR="00587A40" w:rsidRPr="00A973A2">
        <w:rPr>
          <w:rFonts w:hAnsi="標楷體" w:hint="eastAsia"/>
        </w:rPr>
        <w:t>行使職權</w:t>
      </w:r>
      <w:r w:rsidR="00032BDC" w:rsidRPr="00A973A2">
        <w:rPr>
          <w:rFonts w:hAnsi="標楷體" w:hint="eastAsia"/>
        </w:rPr>
        <w:t>』</w:t>
      </w:r>
      <w:r w:rsidR="00587A40" w:rsidRPr="00A973A2">
        <w:rPr>
          <w:rFonts w:hAnsi="標楷體" w:hint="eastAsia"/>
        </w:rPr>
        <w:t>，係指聲請機關行使其憲法上核心職權，而不及於手段或附屬法定職權，否則恐有藉職權行使之名義而任意開啟釋憲程序，干擾其他機關行使權力之疑慮。」云云</w:t>
      </w:r>
      <w:r w:rsidR="003C3FB4" w:rsidRPr="00A973A2">
        <w:rPr>
          <w:rFonts w:hAnsi="標楷體" w:hint="eastAsia"/>
        </w:rPr>
        <w:t>。</w:t>
      </w:r>
      <w:r w:rsidR="00872979" w:rsidRPr="00A973A2">
        <w:rPr>
          <w:rFonts w:hAnsi="標楷體" w:hint="eastAsia"/>
          <w:b/>
        </w:rPr>
        <w:t>監察院認為</w:t>
      </w:r>
      <w:r w:rsidR="003C3FB4" w:rsidRPr="00A973A2">
        <w:rPr>
          <w:rFonts w:hAnsi="標楷體" w:hint="eastAsia"/>
          <w:b/>
        </w:rPr>
        <w:t>該項論理頗為矛盾，如係指僅有黨產機關主管機關行政院（黨產會）就黨產條例涉有違憲疑義聲請釋憲，何以立法者開出空白支票</w:t>
      </w:r>
      <w:r w:rsidR="00032BDC" w:rsidRPr="00A973A2">
        <w:rPr>
          <w:rFonts w:hAnsi="標楷體" w:hint="eastAsia"/>
          <w:b/>
        </w:rPr>
        <w:t>之</w:t>
      </w:r>
      <w:r w:rsidR="00872979" w:rsidRPr="00A973A2">
        <w:rPr>
          <w:rFonts w:hAnsi="標楷體" w:hint="eastAsia"/>
          <w:b/>
        </w:rPr>
        <w:t>後</w:t>
      </w:r>
      <w:r w:rsidR="003C3FB4" w:rsidRPr="00A973A2">
        <w:rPr>
          <w:rFonts w:hAnsi="標楷體" w:hint="eastAsia"/>
          <w:b/>
        </w:rPr>
        <w:t>行政機關要限縮自己職權聲請釋憲，何以就五權分立下，行政權具有</w:t>
      </w:r>
      <w:r w:rsidR="00872979" w:rsidRPr="00A973A2">
        <w:rPr>
          <w:rFonts w:hAnsi="標楷體" w:hint="eastAsia"/>
          <w:b/>
        </w:rPr>
        <w:t>「</w:t>
      </w:r>
      <w:r w:rsidR="003C3FB4" w:rsidRPr="00A973A2">
        <w:rPr>
          <w:rFonts w:hAnsi="標楷體" w:hint="eastAsia"/>
          <w:b/>
        </w:rPr>
        <w:t>法律違憲審查權</w:t>
      </w:r>
      <w:r w:rsidR="00872979" w:rsidRPr="00A973A2">
        <w:rPr>
          <w:rFonts w:hAnsi="標楷體" w:hint="eastAsia"/>
          <w:b/>
        </w:rPr>
        <w:t>」</w:t>
      </w:r>
      <w:r w:rsidR="003C3FB4" w:rsidRPr="00A973A2">
        <w:rPr>
          <w:rFonts w:hAnsi="標楷體" w:hint="eastAsia"/>
          <w:b/>
        </w:rPr>
        <w:t>之發動的</w:t>
      </w:r>
      <w:r w:rsidR="00872979" w:rsidRPr="00A973A2">
        <w:rPr>
          <w:rFonts w:hAnsi="標楷體" w:hint="eastAsia"/>
          <w:b/>
        </w:rPr>
        <w:t>行政特</w:t>
      </w:r>
      <w:r w:rsidR="003C3FB4" w:rsidRPr="00A973A2">
        <w:rPr>
          <w:rFonts w:hAnsi="標楷體" w:hint="eastAsia"/>
          <w:b/>
        </w:rPr>
        <w:t>權</w:t>
      </w:r>
      <w:r w:rsidR="00872979" w:rsidRPr="00A973A2">
        <w:rPr>
          <w:rFonts w:hAnsi="標楷體" w:hint="eastAsia"/>
          <w:b/>
        </w:rPr>
        <w:t>，何以監察權具有「法律違憲審查權」違反機關功能最適原則（詳如前述）</w:t>
      </w:r>
      <w:r w:rsidR="00872979" w:rsidRPr="00A973A2">
        <w:rPr>
          <w:rFonts w:hAnsi="標楷體" w:hint="eastAsia"/>
        </w:rPr>
        <w:t>，引用該文蘇永欽所稱「其他憲法機關權力之行使造成實質妨礙或導致責任政治遭受破壞，例如剝奪其他憲法機關為履行憲法賦予之任務所必要之基礎人事與預算；或剝奪憲法所賦予其他國家機關之核心任務；或逕行取而代之，而使機關彼此間權力關係失衡等等情形。」</w:t>
      </w:r>
      <w:r w:rsidR="00872979" w:rsidRPr="00A973A2">
        <w:rPr>
          <w:rFonts w:hAnsi="標楷體" w:hint="eastAsia"/>
          <w:b/>
        </w:rPr>
        <w:t>檢視本件</w:t>
      </w:r>
      <w:r w:rsidR="00032BDC" w:rsidRPr="00A973A2">
        <w:rPr>
          <w:rFonts w:hAnsi="標楷體" w:hint="eastAsia"/>
          <w:b/>
        </w:rPr>
        <w:t>聲請</w:t>
      </w:r>
      <w:r w:rsidR="00872979" w:rsidRPr="00A973A2">
        <w:rPr>
          <w:rFonts w:hAnsi="標楷體" w:hint="eastAsia"/>
          <w:b/>
        </w:rPr>
        <w:t>釋憲案，大法官</w:t>
      </w:r>
      <w:r w:rsidR="00B366A6" w:rsidRPr="00A973A2">
        <w:rPr>
          <w:rFonts w:hAnsi="標楷體" w:hint="eastAsia"/>
          <w:b/>
        </w:rPr>
        <w:t>如</w:t>
      </w:r>
      <w:r w:rsidR="00872979" w:rsidRPr="00A973A2">
        <w:rPr>
          <w:rFonts w:hAnsi="標楷體" w:hint="eastAsia"/>
          <w:b/>
        </w:rPr>
        <w:t>受理本案</w:t>
      </w:r>
      <w:r w:rsidR="00032BDC" w:rsidRPr="00A973A2">
        <w:rPr>
          <w:rFonts w:hAnsi="標楷體" w:hint="eastAsia"/>
          <w:b/>
        </w:rPr>
        <w:t>，</w:t>
      </w:r>
      <w:r w:rsidR="00B366A6" w:rsidRPr="00A973A2">
        <w:rPr>
          <w:rFonts w:hAnsi="標楷體" w:hint="eastAsia"/>
          <w:b/>
        </w:rPr>
        <w:t>是否導致</w:t>
      </w:r>
      <w:r w:rsidR="00872979" w:rsidRPr="00A973A2">
        <w:rPr>
          <w:rFonts w:hAnsi="標楷體" w:hint="eastAsia"/>
          <w:b/>
        </w:rPr>
        <w:t>黨產會行使權力立即遭受妨礙或監察權剝奪黨產會核心任務，或造成監察院取代黨產會行使職權</w:t>
      </w:r>
      <w:r w:rsidR="00B366A6" w:rsidRPr="00A973A2">
        <w:rPr>
          <w:rFonts w:hAnsi="標楷體" w:hint="eastAsia"/>
          <w:b/>
        </w:rPr>
        <w:t>之權力關係失衡情形</w:t>
      </w:r>
      <w:r w:rsidR="00872979" w:rsidRPr="00A973A2">
        <w:rPr>
          <w:rFonts w:hAnsi="標楷體" w:hint="eastAsia"/>
          <w:b/>
        </w:rPr>
        <w:t>呢？監察院作為中華民國最高監察機關</w:t>
      </w:r>
      <w:r w:rsidR="00B366A6" w:rsidRPr="00A973A2">
        <w:rPr>
          <w:rFonts w:hAnsi="標楷體" w:hint="eastAsia"/>
          <w:b/>
        </w:rPr>
        <w:t>，</w:t>
      </w:r>
      <w:r w:rsidR="00872979" w:rsidRPr="00A973A2">
        <w:rPr>
          <w:rFonts w:hAnsi="標楷體" w:hint="eastAsia"/>
          <w:b/>
        </w:rPr>
        <w:t>其核心任務</w:t>
      </w:r>
      <w:r w:rsidR="00411F3E" w:rsidRPr="00A973A2">
        <w:rPr>
          <w:rFonts w:hAnsi="標楷體" w:hint="eastAsia"/>
          <w:b/>
        </w:rPr>
        <w:t>即</w:t>
      </w:r>
      <w:r w:rsidR="00872979" w:rsidRPr="00A973A2">
        <w:rPr>
          <w:rFonts w:hAnsi="標楷體" w:hint="eastAsia"/>
          <w:b/>
        </w:rPr>
        <w:t>是就其他憲法機關（不含立法權）為合法性監督與合目的性監督</w:t>
      </w:r>
      <w:r w:rsidR="00C55F9F" w:rsidRPr="00A973A2">
        <w:rPr>
          <w:rFonts w:hAnsi="標楷體" w:hint="eastAsia"/>
          <w:b/>
        </w:rPr>
        <w:t>，從憲法所賦予監察職權較司法權而言，不具有司法裁判</w:t>
      </w:r>
      <w:r w:rsidR="00B366A6" w:rsidRPr="00A973A2">
        <w:rPr>
          <w:rFonts w:hAnsi="標楷體" w:hint="eastAsia"/>
          <w:b/>
        </w:rPr>
        <w:t>之</w:t>
      </w:r>
      <w:r w:rsidR="00C55F9F" w:rsidRPr="00A973A2">
        <w:rPr>
          <w:rFonts w:hAnsi="標楷體" w:hint="eastAsia"/>
          <w:b/>
        </w:rPr>
        <w:t>法拘束力，如何干擾行政權行使職權，黨產會所云，顯非的論</w:t>
      </w:r>
      <w:r w:rsidR="00C55F9F" w:rsidRPr="00A973A2">
        <w:rPr>
          <w:rFonts w:hAnsi="標楷體" w:hint="eastAsia"/>
        </w:rPr>
        <w:t>。</w:t>
      </w:r>
    </w:p>
    <w:p w:rsidR="00C55F9F" w:rsidRPr="00A973A2" w:rsidRDefault="00C55F9F" w:rsidP="00367FAD">
      <w:pPr>
        <w:pStyle w:val="3"/>
        <w:rPr>
          <w:rFonts w:hAnsi="標楷體"/>
        </w:rPr>
      </w:pPr>
      <w:r w:rsidRPr="00A973A2">
        <w:rPr>
          <w:rFonts w:hAnsi="標楷體" w:hint="eastAsia"/>
        </w:rPr>
        <w:t>黨產會稱：「本案監察院依系爭規定聲請釋憲是否合法為分析：首先，本件監察院作為中央機關，依大審法第5條第1項第1款後段為釋憲聲請，其並無同條項第3款後段三分之一立委聲請釋憲時，立委職權多半並非在適用法律之問題，</w:t>
      </w:r>
      <w:r w:rsidRPr="00A973A2">
        <w:rPr>
          <w:rFonts w:hAnsi="標楷體" w:hint="eastAsia"/>
          <w:b/>
          <w:u w:val="single"/>
        </w:rPr>
        <w:t>監察院於憲法與法律上所肩負之職權甚為明確，且確有適用各類法律之可能性，故系爭規定關於</w:t>
      </w:r>
      <w:r w:rsidR="00411F3E" w:rsidRPr="00A973A2">
        <w:rPr>
          <w:rFonts w:hAnsi="標楷體" w:hint="eastAsia"/>
          <w:b/>
          <w:u w:val="single"/>
        </w:rPr>
        <w:t>『</w:t>
      </w:r>
      <w:r w:rsidRPr="00A973A2">
        <w:rPr>
          <w:rFonts w:hAnsi="標楷體" w:hint="eastAsia"/>
          <w:b/>
          <w:u w:val="single"/>
        </w:rPr>
        <w:t>行使職權、適用法律</w:t>
      </w:r>
      <w:r w:rsidR="00411F3E" w:rsidRPr="00A973A2">
        <w:rPr>
          <w:rFonts w:hAnsi="標楷體" w:hint="eastAsia"/>
          <w:b/>
          <w:u w:val="single"/>
        </w:rPr>
        <w:t>』</w:t>
      </w:r>
      <w:r w:rsidRPr="00A973A2">
        <w:rPr>
          <w:rFonts w:hAnsi="標楷體" w:hint="eastAsia"/>
          <w:b/>
          <w:u w:val="single"/>
        </w:rPr>
        <w:t>之要件解釋</w:t>
      </w:r>
      <w:r w:rsidRPr="00A973A2">
        <w:rPr>
          <w:rFonts w:hAnsi="標楷體" w:hint="eastAsia"/>
        </w:rPr>
        <w:t>，當無如第3款後段有</w:t>
      </w:r>
      <w:r w:rsidR="00411F3E" w:rsidRPr="00A973A2">
        <w:rPr>
          <w:rFonts w:hAnsi="標楷體" w:hint="eastAsia"/>
        </w:rPr>
        <w:t>『</w:t>
      </w:r>
      <w:r w:rsidRPr="00A973A2">
        <w:rPr>
          <w:rFonts w:hAnsi="標楷體" w:hint="eastAsia"/>
        </w:rPr>
        <w:t>合目的性補充</w:t>
      </w:r>
      <w:r w:rsidR="00411F3E" w:rsidRPr="00A973A2">
        <w:rPr>
          <w:rFonts w:hAnsi="標楷體" w:hint="eastAsia"/>
        </w:rPr>
        <w:t>』</w:t>
      </w:r>
      <w:r w:rsidRPr="00A973A2">
        <w:rPr>
          <w:rFonts w:hAnsi="標楷體" w:hint="eastAsia"/>
        </w:rPr>
        <w:t>之必要；次者，退步言之，依據大院釋字第603號解釋所示意旨，依據大審法第5條第1項第1款為聲請仍應具有</w:t>
      </w:r>
      <w:r w:rsidR="00411F3E" w:rsidRPr="00A973A2">
        <w:rPr>
          <w:rFonts w:hAnsi="標楷體" w:hint="eastAsia"/>
        </w:rPr>
        <w:t>『</w:t>
      </w:r>
      <w:r w:rsidRPr="00A973A2">
        <w:rPr>
          <w:rFonts w:hAnsi="標楷體" w:hint="eastAsia"/>
        </w:rPr>
        <w:t>聲請解釋必要性</w:t>
      </w:r>
      <w:r w:rsidR="00411F3E" w:rsidRPr="00A973A2">
        <w:rPr>
          <w:rFonts w:hAnsi="標楷體" w:hint="eastAsia"/>
        </w:rPr>
        <w:t>』</w:t>
      </w:r>
      <w:r w:rsidRPr="00A973A2">
        <w:rPr>
          <w:rFonts w:hAnsi="標楷體" w:hint="eastAsia"/>
        </w:rPr>
        <w:t>（該號解釋以</w:t>
      </w:r>
      <w:r w:rsidR="00411F3E" w:rsidRPr="00A973A2">
        <w:rPr>
          <w:rFonts w:hAnsi="標楷體" w:hint="eastAsia"/>
        </w:rPr>
        <w:t>『</w:t>
      </w:r>
      <w:r w:rsidRPr="00A973A2">
        <w:rPr>
          <w:rFonts w:hAnsi="標楷體" w:hint="eastAsia"/>
        </w:rPr>
        <w:t>修法未果</w:t>
      </w:r>
      <w:r w:rsidR="00411F3E" w:rsidRPr="00A973A2">
        <w:rPr>
          <w:rFonts w:hAnsi="標楷體" w:hint="eastAsia"/>
        </w:rPr>
        <w:t>』</w:t>
      </w:r>
      <w:r w:rsidRPr="00A973A2">
        <w:rPr>
          <w:rFonts w:hAnsi="標楷體" w:hint="eastAsia"/>
        </w:rPr>
        <w:t>作為呈現），縱使對</w:t>
      </w:r>
      <w:r w:rsidR="00411F3E" w:rsidRPr="00A973A2">
        <w:rPr>
          <w:rFonts w:hAnsi="標楷體" w:hint="eastAsia"/>
        </w:rPr>
        <w:t>『</w:t>
      </w:r>
      <w:r w:rsidRPr="00A973A2">
        <w:rPr>
          <w:rFonts w:hAnsi="標楷體" w:hint="eastAsia"/>
        </w:rPr>
        <w:t>聲請解釋必要性</w:t>
      </w:r>
      <w:r w:rsidR="00411F3E" w:rsidRPr="00A973A2">
        <w:rPr>
          <w:rFonts w:hAnsi="標楷體" w:hint="eastAsia"/>
        </w:rPr>
        <w:t>』</w:t>
      </w:r>
      <w:r w:rsidRPr="00A973A2">
        <w:rPr>
          <w:rFonts w:hAnsi="標楷體" w:hint="eastAsia"/>
        </w:rPr>
        <w:t>之判斷從寬，參酌前述許玉秀大法官之見解，也至少必須在</w:t>
      </w:r>
      <w:r w:rsidR="00411F3E" w:rsidRPr="00A973A2">
        <w:rPr>
          <w:rFonts w:hAnsi="標楷體" w:hint="eastAsia"/>
          <w:u w:val="single"/>
        </w:rPr>
        <w:t>『</w:t>
      </w:r>
      <w:r w:rsidRPr="00A973A2">
        <w:rPr>
          <w:rFonts w:hAnsi="標楷體" w:hint="eastAsia"/>
          <w:u w:val="single"/>
        </w:rPr>
        <w:t>行使職權</w:t>
      </w:r>
      <w:r w:rsidR="00411F3E" w:rsidRPr="00A973A2">
        <w:rPr>
          <w:rFonts w:hAnsi="標楷體" w:hint="eastAsia"/>
          <w:u w:val="single"/>
        </w:rPr>
        <w:t>』</w:t>
      </w:r>
      <w:r w:rsidRPr="00A973A2">
        <w:rPr>
          <w:rFonts w:hAnsi="標楷體" w:hint="eastAsia"/>
          <w:u w:val="single"/>
        </w:rPr>
        <w:t>與</w:t>
      </w:r>
      <w:r w:rsidR="00411F3E" w:rsidRPr="00A973A2">
        <w:rPr>
          <w:rFonts w:hAnsi="標楷體" w:hint="eastAsia"/>
          <w:u w:val="single"/>
        </w:rPr>
        <w:t>『</w:t>
      </w:r>
      <w:r w:rsidRPr="00A973A2">
        <w:rPr>
          <w:rFonts w:hAnsi="標楷體" w:hint="eastAsia"/>
          <w:u w:val="single"/>
        </w:rPr>
        <w:t>違憲疑義</w:t>
      </w:r>
      <w:r w:rsidR="00411F3E" w:rsidRPr="00A973A2">
        <w:rPr>
          <w:rFonts w:hAnsi="標楷體" w:hint="eastAsia"/>
          <w:u w:val="single"/>
        </w:rPr>
        <w:t>』</w:t>
      </w:r>
      <w:r w:rsidRPr="00A973A2">
        <w:rPr>
          <w:rFonts w:hAnsi="標楷體" w:hint="eastAsia"/>
          <w:u w:val="single"/>
        </w:rPr>
        <w:t>之間具備因果關聯。本件監察院聲請究竟基於何種職權？其主張黨產條例之規定有違憲疑義一事，與其職權究竟有何關連？</w:t>
      </w:r>
      <w:r w:rsidRPr="00A973A2">
        <w:rPr>
          <w:rFonts w:hAnsi="標楷體" w:hint="eastAsia"/>
        </w:rPr>
        <w:t>上開質疑於監察院所提之聲請釋憲書中並未有明確說明；再者，若以學者吳信華教授之見解分析，依據大審法第5條第1項第1款聲請釋憲須具備</w:t>
      </w:r>
      <w:r w:rsidR="00411F3E" w:rsidRPr="00A973A2">
        <w:rPr>
          <w:rFonts w:hAnsi="標楷體" w:hint="eastAsia"/>
          <w:u w:val="single"/>
        </w:rPr>
        <w:t>『</w:t>
      </w:r>
      <w:r w:rsidRPr="00A973A2">
        <w:rPr>
          <w:rFonts w:hAnsi="標楷體" w:hint="eastAsia"/>
          <w:u w:val="single"/>
        </w:rPr>
        <w:t>與職權有關，而有請求解釋（闡明）之公共利益</w:t>
      </w:r>
      <w:r w:rsidR="00411F3E" w:rsidRPr="00A973A2">
        <w:rPr>
          <w:rFonts w:hAnsi="標楷體" w:hint="eastAsia"/>
          <w:u w:val="single"/>
        </w:rPr>
        <w:t>』</w:t>
      </w:r>
      <w:r w:rsidRPr="00A973A2">
        <w:rPr>
          <w:rFonts w:hAnsi="標楷體" w:hint="eastAsia"/>
          <w:u w:val="single"/>
        </w:rPr>
        <w:t>，</w:t>
      </w:r>
      <w:r w:rsidRPr="00A973A2">
        <w:rPr>
          <w:rFonts w:hAnsi="標楷體" w:hint="eastAsia"/>
        </w:rPr>
        <w:t>然本件監察院關於本件聲請釋憲之相關規範，莫說其本非屬監察院之職權行使範圍，也於其職權毫無關聯性，監察院更未闡明由其提出聲請之公共利益何在？末者，本件聲請全然與監察院之法定職權無涉，已於第一題（四）中有詳細論述。故不論以何種見解觀點，本件監察院聲請皆不符合條文法意</w:t>
      </w:r>
      <w:r w:rsidR="00411F3E" w:rsidRPr="00A973A2">
        <w:rPr>
          <w:rFonts w:hAnsi="標楷體" w:hint="eastAsia"/>
        </w:rPr>
        <w:t>『</w:t>
      </w:r>
      <w:r w:rsidRPr="00A973A2">
        <w:rPr>
          <w:rFonts w:hAnsi="標楷體" w:hint="eastAsia"/>
        </w:rPr>
        <w:t>行使職權、適用法律</w:t>
      </w:r>
      <w:r w:rsidR="00411F3E" w:rsidRPr="00A973A2">
        <w:rPr>
          <w:rFonts w:hAnsi="標楷體" w:hint="eastAsia"/>
        </w:rPr>
        <w:t>』</w:t>
      </w:r>
      <w:r w:rsidRPr="00A973A2">
        <w:rPr>
          <w:rFonts w:hAnsi="標楷體" w:hint="eastAsia"/>
        </w:rPr>
        <w:t>之要求，本件釋憲聲請案並不符合審理案件法之聲請要件，大院對此應為不受理之決議。」云云。</w:t>
      </w:r>
      <w:r w:rsidR="00367FAD" w:rsidRPr="00A973A2">
        <w:rPr>
          <w:rFonts w:hAnsi="標楷體" w:hint="eastAsia"/>
        </w:rPr>
        <w:t>監察院回應如下：</w:t>
      </w:r>
    </w:p>
    <w:p w:rsidR="00367FAD" w:rsidRPr="00A973A2" w:rsidRDefault="00367FAD" w:rsidP="00DA2528">
      <w:pPr>
        <w:pStyle w:val="4"/>
        <w:rPr>
          <w:rFonts w:hAnsi="標楷體"/>
        </w:rPr>
      </w:pPr>
      <w:r w:rsidRPr="00A973A2">
        <w:rPr>
          <w:rFonts w:hAnsi="標楷體" w:hint="eastAsia"/>
        </w:rPr>
        <w:t>首先黨產會承認「監察院於憲法與法律上所肩負之職權甚為明確，且確有適用各類法律之可能性」，惟其質疑「行使職權」與「違憲疑義」之間</w:t>
      </w:r>
      <w:r w:rsidR="00BC4C47" w:rsidRPr="00A973A2">
        <w:rPr>
          <w:rFonts w:hAnsi="標楷體" w:hint="eastAsia"/>
        </w:rPr>
        <w:t>所</w:t>
      </w:r>
      <w:r w:rsidRPr="00A973A2">
        <w:rPr>
          <w:rFonts w:hAnsi="標楷體" w:hint="eastAsia"/>
        </w:rPr>
        <w:t>具備因果關聯，此係為許玉秀</w:t>
      </w:r>
      <w:r w:rsidR="00411F3E" w:rsidRPr="00A973A2">
        <w:rPr>
          <w:rFonts w:hAnsi="標楷體" w:hint="eastAsia"/>
        </w:rPr>
        <w:t>大法官</w:t>
      </w:r>
      <w:r w:rsidRPr="00A973A2">
        <w:rPr>
          <w:rFonts w:hAnsi="標楷體" w:hint="eastAsia"/>
        </w:rPr>
        <w:t>於釋字603號解釋就立法機關發見有違憲疑義時，得否聲請憲法解釋所為之意見，其係因「立法權」之職權本質所造成之困惑，是否適用「監察權」亦非無疑。縱依據許玉秀</w:t>
      </w:r>
      <w:r w:rsidR="00411F3E" w:rsidRPr="00A973A2">
        <w:rPr>
          <w:rFonts w:hAnsi="標楷體" w:hint="eastAsia"/>
        </w:rPr>
        <w:t>大法官</w:t>
      </w:r>
      <w:r w:rsidRPr="00A973A2">
        <w:rPr>
          <w:rFonts w:hAnsi="標楷體" w:hint="eastAsia"/>
        </w:rPr>
        <w:t>論述</w:t>
      </w:r>
      <w:r w:rsidR="00411F3E" w:rsidRPr="00A973A2">
        <w:rPr>
          <w:rFonts w:hAnsi="標楷體" w:hint="eastAsia"/>
        </w:rPr>
        <w:t>：</w:t>
      </w:r>
      <w:r w:rsidRPr="00A973A2">
        <w:rPr>
          <w:rFonts w:hAnsi="標楷體" w:hint="eastAsia"/>
        </w:rPr>
        <w:t>「但是行使職權與發生憲法疑義或法律違憲疑義之間應該有因果關聯，因此行使職權這個要件的重要性，在於產生憲法疑義或法律違憲疑義，是因為行使職權而產生，亦即，不可單純因為對於法律規範有違憲疑義,就提出違憲審查的聲請。」</w:t>
      </w:r>
      <w:r w:rsidRPr="00A973A2">
        <w:rPr>
          <w:rFonts w:hAnsi="標楷體" w:hint="eastAsia"/>
          <w:b/>
        </w:rPr>
        <w:t>依據</w:t>
      </w:r>
      <w:r w:rsidR="00DF2186" w:rsidRPr="00A973A2">
        <w:rPr>
          <w:rFonts w:hAnsi="標楷體" w:hint="eastAsia"/>
          <w:b/>
        </w:rPr>
        <w:t>上開文字作</w:t>
      </w:r>
      <w:r w:rsidRPr="00A973A2">
        <w:rPr>
          <w:rFonts w:hAnsi="標楷體" w:hint="eastAsia"/>
          <w:b/>
        </w:rPr>
        <w:t>邏輯</w:t>
      </w:r>
      <w:r w:rsidR="00DF2186" w:rsidRPr="00A973A2">
        <w:rPr>
          <w:rFonts w:hAnsi="標楷體" w:hint="eastAsia"/>
          <w:b/>
        </w:rPr>
        <w:t>思考</w:t>
      </w:r>
      <w:r w:rsidRPr="00A973A2">
        <w:rPr>
          <w:rFonts w:hAnsi="標楷體" w:hint="eastAsia"/>
          <w:b/>
        </w:rPr>
        <w:t>命題假設，將「行使調查權」以符號</w:t>
      </w:r>
      <w:r w:rsidRPr="00A973A2">
        <w:rPr>
          <w:rFonts w:hAnsi="標楷體"/>
          <w:b/>
        </w:rPr>
        <w:t>P</w:t>
      </w:r>
      <w:r w:rsidRPr="00A973A2">
        <w:rPr>
          <w:rFonts w:hAnsi="標楷體" w:hint="eastAsia"/>
          <w:b/>
        </w:rPr>
        <w:t>表示，而將「發見法律違憲疑義」</w:t>
      </w:r>
      <w:r w:rsidRPr="00A973A2">
        <w:rPr>
          <w:rFonts w:hAnsi="標楷體"/>
          <w:b/>
        </w:rPr>
        <w:t>Q</w:t>
      </w:r>
      <w:r w:rsidRPr="00A973A2">
        <w:rPr>
          <w:rFonts w:hAnsi="標楷體" w:hint="eastAsia"/>
          <w:b/>
        </w:rPr>
        <w:t>表示，如前揭所述</w:t>
      </w:r>
      <w:r w:rsidR="00C02C95" w:rsidRPr="00A973A2">
        <w:rPr>
          <w:rFonts w:hAnsi="標楷體" w:hint="eastAsia"/>
          <w:b/>
        </w:rPr>
        <w:t>監察權行使職權之流程</w:t>
      </w:r>
      <w:r w:rsidRPr="00A973A2">
        <w:rPr>
          <w:rFonts w:hAnsi="標楷體" w:hint="eastAsia"/>
          <w:b/>
        </w:rPr>
        <w:t>，</w:t>
      </w:r>
      <w:r w:rsidR="00411F3E" w:rsidRPr="00A973A2">
        <w:rPr>
          <w:rFonts w:hAnsi="標楷體" w:hint="eastAsia"/>
          <w:b/>
        </w:rPr>
        <w:t>在本案中，</w:t>
      </w:r>
      <w:r w:rsidR="000E0BD1" w:rsidRPr="00A973A2">
        <w:rPr>
          <w:rFonts w:hAnsi="標楷體" w:hint="eastAsia"/>
          <w:b/>
        </w:rPr>
        <w:t>監察院</w:t>
      </w:r>
      <w:r w:rsidRPr="00A973A2">
        <w:rPr>
          <w:rFonts w:hAnsi="標楷體" w:hint="eastAsia"/>
          <w:b/>
        </w:rPr>
        <w:t>行使之調查權</w:t>
      </w:r>
      <w:r w:rsidR="00411F3E" w:rsidRPr="00A973A2">
        <w:rPr>
          <w:rFonts w:hAnsi="標楷體" w:hint="eastAsia"/>
          <w:b/>
        </w:rPr>
        <w:t>導致</w:t>
      </w:r>
      <w:r w:rsidR="000E0BD1" w:rsidRPr="00A973A2">
        <w:rPr>
          <w:rFonts w:hAnsi="標楷體" w:hint="eastAsia"/>
          <w:b/>
        </w:rPr>
        <w:t>「發見法律違憲疑義」</w:t>
      </w:r>
      <w:r w:rsidR="00411F3E" w:rsidRPr="00A973A2">
        <w:rPr>
          <w:rFonts w:hAnsi="標楷體" w:hint="eastAsia"/>
          <w:b/>
        </w:rPr>
        <w:t>，</w:t>
      </w:r>
      <w:r w:rsidR="000E0BD1" w:rsidRPr="00A973A2">
        <w:rPr>
          <w:rFonts w:hAnsi="標楷體" w:hint="eastAsia"/>
          <w:b/>
        </w:rPr>
        <w:t>則</w:t>
      </w:r>
      <w:r w:rsidRPr="00A973A2">
        <w:rPr>
          <w:rFonts w:hAnsi="標楷體"/>
          <w:b/>
        </w:rPr>
        <w:t>P</w:t>
      </w:r>
      <w:r w:rsidRPr="00A973A2">
        <w:rPr>
          <w:rFonts w:ascii="MS Mincho" w:eastAsia="MS Mincho" w:hAnsi="MS Mincho" w:cs="MS Mincho" w:hint="eastAsia"/>
          <w:b/>
        </w:rPr>
        <w:t>⇒</w:t>
      </w:r>
      <w:r w:rsidRPr="00A973A2">
        <w:rPr>
          <w:rFonts w:hAnsi="標楷體"/>
          <w:b/>
        </w:rPr>
        <w:t>Q</w:t>
      </w:r>
      <w:r w:rsidRPr="00A973A2">
        <w:rPr>
          <w:rFonts w:hAnsi="標楷體" w:hint="eastAsia"/>
          <w:b/>
        </w:rPr>
        <w:t>成立，則</w:t>
      </w:r>
      <w:r w:rsidRPr="00A973A2">
        <w:rPr>
          <w:rFonts w:hAnsi="標楷體"/>
          <w:b/>
        </w:rPr>
        <w:t>P</w:t>
      </w:r>
      <w:r w:rsidRPr="00A973A2">
        <w:rPr>
          <w:rFonts w:hAnsi="標楷體" w:hint="eastAsia"/>
          <w:b/>
        </w:rPr>
        <w:t>（行使調查權）</w:t>
      </w:r>
      <w:r w:rsidR="000E0BD1" w:rsidRPr="00A973A2">
        <w:rPr>
          <w:rFonts w:hAnsi="標楷體" w:hint="eastAsia"/>
          <w:b/>
        </w:rPr>
        <w:t>是</w:t>
      </w:r>
      <w:r w:rsidRPr="00A973A2">
        <w:rPr>
          <w:rFonts w:hAnsi="標楷體"/>
          <w:b/>
        </w:rPr>
        <w:t>Q</w:t>
      </w:r>
      <w:r w:rsidRPr="00A973A2">
        <w:rPr>
          <w:rFonts w:hAnsi="標楷體" w:hint="eastAsia"/>
          <w:b/>
        </w:rPr>
        <w:t>（</w:t>
      </w:r>
      <w:r w:rsidR="000E0BD1" w:rsidRPr="00A973A2">
        <w:rPr>
          <w:rFonts w:hAnsi="標楷體" w:hint="eastAsia"/>
          <w:b/>
        </w:rPr>
        <w:t>發見法律違憲疑義</w:t>
      </w:r>
      <w:r w:rsidRPr="00A973A2">
        <w:rPr>
          <w:rFonts w:hAnsi="標楷體" w:hint="eastAsia"/>
          <w:b/>
        </w:rPr>
        <w:t>）之充分條件，亦即行使調查權</w:t>
      </w:r>
      <w:r w:rsidR="000E0BD1" w:rsidRPr="00A973A2">
        <w:rPr>
          <w:rFonts w:hAnsi="標楷體" w:hint="eastAsia"/>
          <w:b/>
        </w:rPr>
        <w:t>是發見法律違憲疑義</w:t>
      </w:r>
      <w:r w:rsidRPr="00A973A2">
        <w:rPr>
          <w:rFonts w:hAnsi="標楷體" w:hint="eastAsia"/>
          <w:b/>
        </w:rPr>
        <w:t>之充分條件，然而基於辯證法將主客觀顛倒</w:t>
      </w:r>
      <w:r w:rsidR="00411F3E" w:rsidRPr="00A973A2">
        <w:rPr>
          <w:rFonts w:hAnsi="標楷體" w:hint="eastAsia"/>
          <w:b/>
        </w:rPr>
        <w:t>，在本案中，</w:t>
      </w:r>
      <w:r w:rsidR="000E0BD1" w:rsidRPr="00A973A2">
        <w:rPr>
          <w:rFonts w:hAnsi="標楷體" w:hint="eastAsia"/>
          <w:b/>
        </w:rPr>
        <w:t>「發見法律違憲疑義」</w:t>
      </w:r>
      <w:r w:rsidR="00411F3E" w:rsidRPr="00A973A2">
        <w:rPr>
          <w:rFonts w:hAnsi="標楷體" w:hint="eastAsia"/>
          <w:b/>
        </w:rPr>
        <w:t>必然</w:t>
      </w:r>
      <w:r w:rsidR="000E0BD1" w:rsidRPr="00A973A2">
        <w:rPr>
          <w:rFonts w:hAnsi="標楷體" w:hint="eastAsia"/>
          <w:b/>
        </w:rPr>
        <w:t>需「行使調查權」</w:t>
      </w:r>
      <w:r w:rsidR="00411F3E" w:rsidRPr="00A973A2">
        <w:rPr>
          <w:rFonts w:hAnsi="標楷體" w:hint="eastAsia"/>
          <w:b/>
        </w:rPr>
        <w:t>，</w:t>
      </w:r>
      <w:r w:rsidR="000E0BD1" w:rsidRPr="00A973A2">
        <w:rPr>
          <w:rFonts w:hAnsi="標楷體" w:hint="eastAsia"/>
          <w:b/>
        </w:rPr>
        <w:t>此點從憲法與監察法所述前述流程得證</w:t>
      </w:r>
      <w:r w:rsidRPr="00A973A2">
        <w:rPr>
          <w:rFonts w:hAnsi="標楷體"/>
          <w:b/>
        </w:rPr>
        <w:t>Q</w:t>
      </w:r>
      <w:r w:rsidRPr="00A973A2">
        <w:rPr>
          <w:rFonts w:ascii="MS Mincho" w:eastAsia="MS Mincho" w:hAnsi="MS Mincho" w:cs="MS Mincho" w:hint="eastAsia"/>
          <w:b/>
        </w:rPr>
        <w:t>⇒</w:t>
      </w:r>
      <w:r w:rsidRPr="00A973A2">
        <w:rPr>
          <w:rFonts w:hAnsi="標楷體"/>
          <w:b/>
        </w:rPr>
        <w:t>P</w:t>
      </w:r>
      <w:r w:rsidRPr="00A973A2">
        <w:rPr>
          <w:rFonts w:hAnsi="標楷體" w:hint="eastAsia"/>
          <w:b/>
        </w:rPr>
        <w:t>成立，則</w:t>
      </w:r>
      <w:r w:rsidR="00411F3E" w:rsidRPr="00A973A2">
        <w:rPr>
          <w:rFonts w:hAnsi="標楷體" w:hint="eastAsia"/>
          <w:b/>
        </w:rPr>
        <w:t>本案</w:t>
      </w:r>
      <w:r w:rsidR="000E0BD1" w:rsidRPr="00A973A2">
        <w:rPr>
          <w:rFonts w:hAnsi="標楷體" w:hint="eastAsia"/>
          <w:b/>
        </w:rPr>
        <w:t>「</w:t>
      </w:r>
      <w:r w:rsidRPr="00A973A2">
        <w:rPr>
          <w:rFonts w:hAnsi="標楷體" w:hint="eastAsia"/>
          <w:b/>
        </w:rPr>
        <w:t>行使調查權</w:t>
      </w:r>
      <w:r w:rsidR="000E0BD1" w:rsidRPr="00A973A2">
        <w:rPr>
          <w:rFonts w:hAnsi="標楷體" w:hint="eastAsia"/>
          <w:b/>
        </w:rPr>
        <w:t>」</w:t>
      </w:r>
      <w:r w:rsidRPr="00A973A2">
        <w:rPr>
          <w:rFonts w:hAnsi="標楷體" w:hint="eastAsia"/>
          <w:b/>
        </w:rPr>
        <w:t>是</w:t>
      </w:r>
      <w:r w:rsidR="000E0BD1" w:rsidRPr="00A973A2">
        <w:rPr>
          <w:rFonts w:hAnsi="標楷體" w:hint="eastAsia"/>
          <w:b/>
        </w:rPr>
        <w:t>「發見法律違憲疑義」之必要條件</w:t>
      </w:r>
      <w:r w:rsidR="00DA2528" w:rsidRPr="00A973A2">
        <w:rPr>
          <w:rFonts w:hAnsi="標楷體" w:hint="eastAsia"/>
          <w:b/>
        </w:rPr>
        <w:t>；再</w:t>
      </w:r>
      <w:r w:rsidRPr="00A973A2">
        <w:rPr>
          <w:rFonts w:hAnsi="標楷體" w:hint="eastAsia"/>
          <w:b/>
        </w:rPr>
        <w:t>使用否證，</w:t>
      </w:r>
      <w:r w:rsidRPr="00A973A2">
        <w:rPr>
          <w:rFonts w:hAnsi="標楷體"/>
          <w:b/>
        </w:rPr>
        <w:t>~P</w:t>
      </w:r>
      <w:r w:rsidRPr="00A973A2">
        <w:rPr>
          <w:rFonts w:ascii="MS Mincho" w:eastAsia="MS Mincho" w:hAnsi="MS Mincho" w:cs="MS Mincho" w:hint="eastAsia"/>
          <w:b/>
        </w:rPr>
        <w:t>⇒</w:t>
      </w:r>
      <w:r w:rsidRPr="00A973A2">
        <w:rPr>
          <w:rFonts w:hAnsi="標楷體"/>
          <w:b/>
        </w:rPr>
        <w:t>~Q</w:t>
      </w:r>
      <w:r w:rsidRPr="00A973A2">
        <w:rPr>
          <w:rFonts w:hAnsi="標楷體" w:hint="eastAsia"/>
          <w:b/>
        </w:rPr>
        <w:t>成立則</w:t>
      </w:r>
      <w:r w:rsidRPr="00A973A2">
        <w:rPr>
          <w:rFonts w:hAnsi="標楷體"/>
          <w:b/>
        </w:rPr>
        <w:t>Q</w:t>
      </w:r>
      <w:r w:rsidRPr="00A973A2">
        <w:rPr>
          <w:rFonts w:ascii="MS Mincho" w:eastAsia="MS Mincho" w:hAnsi="MS Mincho" w:cs="MS Mincho" w:hint="eastAsia"/>
          <w:b/>
        </w:rPr>
        <w:t>⇒</w:t>
      </w:r>
      <w:r w:rsidRPr="00A973A2">
        <w:rPr>
          <w:rFonts w:hAnsi="標楷體"/>
          <w:b/>
        </w:rPr>
        <w:t>P</w:t>
      </w:r>
      <w:r w:rsidRPr="00A973A2">
        <w:rPr>
          <w:rFonts w:hAnsi="標楷體" w:hint="eastAsia"/>
          <w:b/>
        </w:rPr>
        <w:t>為真，</w:t>
      </w:r>
      <w:r w:rsidRPr="00A973A2">
        <w:rPr>
          <w:rFonts w:hAnsi="標楷體"/>
          <w:b/>
        </w:rPr>
        <w:t>~Q</w:t>
      </w:r>
      <w:r w:rsidRPr="00A973A2">
        <w:rPr>
          <w:rFonts w:ascii="MS Mincho" w:eastAsia="MS Mincho" w:hAnsi="MS Mincho" w:cs="MS Mincho" w:hint="eastAsia"/>
          <w:b/>
        </w:rPr>
        <w:t>⇒</w:t>
      </w:r>
      <w:r w:rsidRPr="00A973A2">
        <w:rPr>
          <w:rFonts w:hAnsi="標楷體"/>
          <w:b/>
        </w:rPr>
        <w:t>~P</w:t>
      </w:r>
      <w:r w:rsidRPr="00A973A2">
        <w:rPr>
          <w:rFonts w:hAnsi="標楷體" w:hint="eastAsia"/>
          <w:b/>
        </w:rPr>
        <w:t>成立則</w:t>
      </w:r>
      <w:r w:rsidRPr="00A973A2">
        <w:rPr>
          <w:rFonts w:hAnsi="標楷體"/>
          <w:b/>
        </w:rPr>
        <w:t>P</w:t>
      </w:r>
      <w:r w:rsidRPr="00A973A2">
        <w:rPr>
          <w:rFonts w:ascii="MS Mincho" w:eastAsia="MS Mincho" w:hAnsi="MS Mincho" w:cs="MS Mincho" w:hint="eastAsia"/>
          <w:b/>
        </w:rPr>
        <w:t>⇒</w:t>
      </w:r>
      <w:r w:rsidRPr="00A973A2">
        <w:rPr>
          <w:rFonts w:hAnsi="標楷體"/>
          <w:b/>
        </w:rPr>
        <w:t>Q</w:t>
      </w:r>
      <w:r w:rsidR="000E0BD1" w:rsidRPr="00A973A2">
        <w:rPr>
          <w:rFonts w:hAnsi="標楷體" w:hint="eastAsia"/>
          <w:b/>
        </w:rPr>
        <w:t>為真，</w:t>
      </w:r>
      <w:r w:rsidR="00411F3E" w:rsidRPr="00A973A2">
        <w:rPr>
          <w:rFonts w:hAnsi="標楷體" w:hint="eastAsia"/>
          <w:b/>
        </w:rPr>
        <w:t>在本案中，</w:t>
      </w:r>
      <w:r w:rsidR="00DA2528" w:rsidRPr="00A973A2">
        <w:rPr>
          <w:rFonts w:hAnsi="標楷體" w:hint="eastAsia"/>
          <w:b/>
        </w:rPr>
        <w:t>則</w:t>
      </w:r>
      <w:r w:rsidR="00DA2528" w:rsidRPr="00A973A2">
        <w:rPr>
          <w:rFonts w:hAnsi="標楷體"/>
          <w:b/>
        </w:rPr>
        <w:t>P</w:t>
      </w:r>
      <w:r w:rsidR="00DA2528" w:rsidRPr="00A973A2">
        <w:rPr>
          <w:rFonts w:ascii="MS Mincho" w:eastAsia="MS Mincho" w:hAnsi="MS Mincho" w:cs="MS Mincho" w:hint="eastAsia"/>
          <w:b/>
        </w:rPr>
        <w:t>⇔</w:t>
      </w:r>
      <w:r w:rsidR="00DA2528" w:rsidRPr="00A973A2">
        <w:rPr>
          <w:rFonts w:hAnsi="標楷體"/>
          <w:b/>
        </w:rPr>
        <w:t>Q</w:t>
      </w:r>
      <w:r w:rsidR="000E0BD1" w:rsidRPr="00A973A2">
        <w:rPr>
          <w:rFonts w:hAnsi="標楷體" w:hint="eastAsia"/>
          <w:b/>
        </w:rPr>
        <w:t>亦即</w:t>
      </w:r>
      <w:r w:rsidR="00DA2528" w:rsidRPr="00A973A2">
        <w:rPr>
          <w:rFonts w:hAnsi="標楷體" w:hint="eastAsia"/>
          <w:b/>
        </w:rPr>
        <w:t>「</w:t>
      </w:r>
      <w:r w:rsidR="000E0BD1" w:rsidRPr="00A973A2">
        <w:rPr>
          <w:rFonts w:hAnsi="標楷體" w:hint="eastAsia"/>
          <w:b/>
        </w:rPr>
        <w:t>行使調查權</w:t>
      </w:r>
      <w:r w:rsidR="00DA2528" w:rsidRPr="00A973A2">
        <w:rPr>
          <w:rFonts w:hAnsi="標楷體" w:hint="eastAsia"/>
          <w:b/>
        </w:rPr>
        <w:t>」與</w:t>
      </w:r>
      <w:r w:rsidR="000E0BD1" w:rsidRPr="00A973A2">
        <w:rPr>
          <w:rFonts w:hAnsi="標楷體" w:hint="eastAsia"/>
          <w:b/>
        </w:rPr>
        <w:t>「發見法律違憲疑義」</w:t>
      </w:r>
      <w:r w:rsidR="00DA2528" w:rsidRPr="00A973A2">
        <w:rPr>
          <w:rFonts w:hAnsi="標楷體" w:hint="eastAsia"/>
          <w:b/>
        </w:rPr>
        <w:t>兩者之間互為</w:t>
      </w:r>
      <w:r w:rsidR="000E0BD1" w:rsidRPr="00A973A2">
        <w:rPr>
          <w:rFonts w:hAnsi="標楷體" w:hint="eastAsia"/>
          <w:b/>
        </w:rPr>
        <w:t>充分</w:t>
      </w:r>
      <w:r w:rsidRPr="00A973A2">
        <w:rPr>
          <w:rFonts w:hAnsi="標楷體" w:hint="eastAsia"/>
          <w:b/>
        </w:rPr>
        <w:t>必要條件，</w:t>
      </w:r>
      <w:r w:rsidR="00411F3E" w:rsidRPr="00A973A2">
        <w:rPr>
          <w:rFonts w:hAnsi="標楷體" w:hint="eastAsia"/>
          <w:b/>
        </w:rPr>
        <w:t>具有</w:t>
      </w:r>
      <w:r w:rsidR="000E0BD1" w:rsidRPr="00A973A2">
        <w:rPr>
          <w:rFonts w:hAnsi="標楷體" w:hint="eastAsia"/>
          <w:b/>
        </w:rPr>
        <w:t>因果關係</w:t>
      </w:r>
      <w:r w:rsidR="00DA2528" w:rsidRPr="00A973A2">
        <w:rPr>
          <w:rFonts w:hAnsi="標楷體" w:hint="eastAsia"/>
          <w:b/>
        </w:rPr>
        <w:t>，</w:t>
      </w:r>
      <w:r w:rsidR="000E0BD1" w:rsidRPr="00A973A2">
        <w:rPr>
          <w:rFonts w:hAnsi="標楷體" w:hint="eastAsia"/>
        </w:rPr>
        <w:t>顯而易見，自不待言。</w:t>
      </w:r>
    </w:p>
    <w:p w:rsidR="000E0BD1" w:rsidRPr="00A973A2" w:rsidRDefault="00BC4C47" w:rsidP="00BC4C47">
      <w:pPr>
        <w:pStyle w:val="4"/>
        <w:rPr>
          <w:rFonts w:hAnsi="標楷體"/>
        </w:rPr>
      </w:pPr>
      <w:r w:rsidRPr="00A973A2">
        <w:rPr>
          <w:rFonts w:hAnsi="標楷體" w:hint="eastAsia"/>
        </w:rPr>
        <w:t>另「與職權有關，而有請求解釋（闡明）之公共利益」部分，本案主旨稱：「就其所稱本院因行使調查權適用政黨及其附隨組織不當取得財產處理條例發生有牴觸憲法第1條、第15條、第16條、第23條、第171條第1項及憲法增修條文第3條第3、4項規定之情形，並與憲法所揭櫫之法治國原則下之法安定性原則、法律保留原則、法律明確性原則、比例原則及正當法律程序、權力分立與制衡原則有所扞格等疑義。」</w:t>
      </w:r>
      <w:r w:rsidR="00411F3E" w:rsidRPr="00A973A2">
        <w:rPr>
          <w:rFonts w:hAnsi="標楷體" w:hint="eastAsia"/>
        </w:rPr>
        <w:t>說明</w:t>
      </w:r>
      <w:r w:rsidRPr="00A973A2">
        <w:rPr>
          <w:rFonts w:hAnsi="標楷體" w:hint="eastAsia"/>
        </w:rPr>
        <w:t>貳、疑義或爭議之性質與經過稱：「恐有立法及行政侵入司法權之虞，其規範內容是否牴觸我國憲法所依據之民主憲政精神，實具有憲法上之原則重要性，有予以違憲審查之必要」</w:t>
      </w:r>
      <w:r w:rsidR="00411F3E" w:rsidRPr="00A973A2">
        <w:rPr>
          <w:rFonts w:hAnsi="標楷體" w:hint="eastAsia"/>
        </w:rPr>
        <w:t>說明</w:t>
      </w:r>
      <w:r w:rsidRPr="00A973A2">
        <w:rPr>
          <w:rFonts w:hAnsi="標楷體" w:hint="eastAsia"/>
        </w:rPr>
        <w:t>參、聲請解釋法令牴觸憲法之理由及所持之立場與見解（</w:t>
      </w:r>
      <w:r w:rsidR="00411F3E" w:rsidRPr="00A973A2">
        <w:rPr>
          <w:rFonts w:hAnsi="標楷體" w:hint="eastAsia"/>
        </w:rPr>
        <w:t>節</w:t>
      </w:r>
      <w:r w:rsidRPr="00A973A2">
        <w:rPr>
          <w:rFonts w:hAnsi="標楷體" w:hint="eastAsia"/>
        </w:rPr>
        <w:t>略）結論稱：「</w:t>
      </w:r>
      <w:r w:rsidRPr="00A973A2">
        <w:rPr>
          <w:rFonts w:hAnsi="標楷體"/>
        </w:rPr>
        <w:t>……</w:t>
      </w:r>
      <w:r w:rsidRPr="00A973A2">
        <w:rPr>
          <w:rFonts w:hAnsi="標楷體" w:hint="eastAsia"/>
        </w:rPr>
        <w:t>黨產條例</w:t>
      </w:r>
      <w:r w:rsidR="00411F3E" w:rsidRPr="00A973A2">
        <w:rPr>
          <w:rFonts w:hAnsi="標楷體" w:hint="eastAsia"/>
        </w:rPr>
        <w:t>『</w:t>
      </w:r>
      <w:r w:rsidRPr="00A973A2">
        <w:rPr>
          <w:rFonts w:hAnsi="標楷體" w:hint="eastAsia"/>
        </w:rPr>
        <w:t>一見即明</w:t>
      </w:r>
      <w:r w:rsidR="00411F3E" w:rsidRPr="00A973A2">
        <w:rPr>
          <w:rFonts w:hAnsi="標楷體" w:hint="eastAsia"/>
        </w:rPr>
        <w:t>』</w:t>
      </w:r>
      <w:r w:rsidRPr="00A973A2">
        <w:rPr>
          <w:rFonts w:hAnsi="標楷體" w:hint="eastAsia"/>
        </w:rPr>
        <w:t>地違反法治國基本原則與正當法律程序。且為達成</w:t>
      </w:r>
      <w:r w:rsidR="00411F3E" w:rsidRPr="00A973A2">
        <w:rPr>
          <w:rFonts w:hAnsi="標楷體" w:hint="eastAsia"/>
        </w:rPr>
        <w:t>『</w:t>
      </w:r>
      <w:r w:rsidRPr="00A973A2">
        <w:rPr>
          <w:rFonts w:hAnsi="標楷體" w:hint="eastAsia"/>
        </w:rPr>
        <w:t>轉型正義</w:t>
      </w:r>
      <w:r w:rsidR="00411F3E" w:rsidRPr="00A973A2">
        <w:rPr>
          <w:rFonts w:hAnsi="標楷體" w:hint="eastAsia"/>
        </w:rPr>
        <w:t>』</w:t>
      </w:r>
      <w:r w:rsidRPr="00A973A2">
        <w:rPr>
          <w:rFonts w:hAnsi="標楷體" w:hint="eastAsia"/>
        </w:rPr>
        <w:t>在國家未處於緊急狀態之情況，即使用下位階法律將憲法破棄，將</w:t>
      </w:r>
      <w:r w:rsidR="00411F3E" w:rsidRPr="00A973A2">
        <w:rPr>
          <w:rFonts w:hAnsi="標楷體" w:hint="eastAsia"/>
        </w:rPr>
        <w:t>『</w:t>
      </w:r>
      <w:r w:rsidRPr="00A973A2">
        <w:rPr>
          <w:rFonts w:hAnsi="標楷體" w:hint="eastAsia"/>
        </w:rPr>
        <w:t>非違憲政黨</w:t>
      </w:r>
      <w:r w:rsidR="00411F3E" w:rsidRPr="00A973A2">
        <w:rPr>
          <w:rFonts w:hAnsi="標楷體" w:hint="eastAsia"/>
        </w:rPr>
        <w:t>』</w:t>
      </w:r>
      <w:r w:rsidRPr="00A973A2">
        <w:rPr>
          <w:rFonts w:hAnsi="標楷體" w:hint="eastAsia"/>
        </w:rPr>
        <w:t>之生命棄置、驅逐於法規範之外，業造成法秩序之例外狀態，縱在承認法治國家有國家緊急權下，黨產條例之全體規範，除未採修憲程序進行外，就憲政過渡程序之憲法漏洞，未以符合法治國基本原則與正當法律程序之法規範加以填補，已超越國家緊急權合憲性基礎之法理，該項立法顯有違憲法及憲法增修條文所揭之民主國原則、法治國原則及權力分立與制衡原則等，難容於現代國家之憲法體系。」</w:t>
      </w:r>
      <w:r w:rsidR="007D05D6" w:rsidRPr="00A973A2">
        <w:rPr>
          <w:rFonts w:hAnsi="標楷體" w:hint="eastAsia"/>
        </w:rPr>
        <w:t>等語，</w:t>
      </w:r>
      <w:r w:rsidR="007D05D6" w:rsidRPr="00A973A2">
        <w:rPr>
          <w:rFonts w:hAnsi="標楷體" w:hint="eastAsia"/>
          <w:b/>
        </w:rPr>
        <w:t>監察院行使調查權適用黨產條例發見有違憲疑義，所提上開理由難道不是「公共利益」嗎？</w:t>
      </w:r>
    </w:p>
    <w:p w:rsidR="00DF2186" w:rsidRPr="00A973A2" w:rsidRDefault="00DF2186" w:rsidP="00DF2186">
      <w:pPr>
        <w:pStyle w:val="3"/>
        <w:rPr>
          <w:rFonts w:hAnsi="標楷體"/>
        </w:rPr>
      </w:pPr>
      <w:r w:rsidRPr="00A973A2">
        <w:rPr>
          <w:rFonts w:hAnsi="標楷體" w:hint="eastAsia"/>
        </w:rPr>
        <w:t>黨產會稱：「使各憲政機關動輒在並無任何職權行使、也未有涉及任何機關職權之情況下，自栩為立法院之立法審查機關，甚至成為司法院之上級機關，進而大量交辦憲法解釋案件，使大法官淪為憲法議題之說明機關，失去釋憲部門篩選案件之適當機制，造成負面影響甚鉅。」云云，監察院回應如下：</w:t>
      </w:r>
    </w:p>
    <w:p w:rsidR="00DF2186" w:rsidRPr="00A973A2" w:rsidRDefault="00DF2186" w:rsidP="00D64E9B">
      <w:pPr>
        <w:pStyle w:val="32"/>
        <w:ind w:left="1361" w:firstLine="680"/>
        <w:rPr>
          <w:rFonts w:hAnsi="標楷體"/>
          <w:b/>
        </w:rPr>
      </w:pPr>
      <w:r w:rsidRPr="00A973A2">
        <w:rPr>
          <w:rFonts w:hAnsi="標楷體" w:hint="eastAsia"/>
        </w:rPr>
        <w:t>有關</w:t>
      </w:r>
      <w:r w:rsidR="00451284" w:rsidRPr="00A973A2">
        <w:rPr>
          <w:rFonts w:hAnsi="標楷體" w:hint="eastAsia"/>
        </w:rPr>
        <w:t>監察院</w:t>
      </w:r>
      <w:r w:rsidRPr="00A973A2">
        <w:rPr>
          <w:rFonts w:hAnsi="標楷體" w:hint="eastAsia"/>
        </w:rPr>
        <w:t>是否會成為立法審查機關或司法院</w:t>
      </w:r>
      <w:r w:rsidR="00451284" w:rsidRPr="00A973A2">
        <w:rPr>
          <w:rFonts w:hAnsi="標楷體" w:hint="eastAsia"/>
        </w:rPr>
        <w:t>之</w:t>
      </w:r>
      <w:r w:rsidRPr="00A973A2">
        <w:rPr>
          <w:rFonts w:hAnsi="標楷體" w:hint="eastAsia"/>
        </w:rPr>
        <w:t>上級機關，就</w:t>
      </w:r>
      <w:r w:rsidR="005E3675" w:rsidRPr="00A973A2">
        <w:rPr>
          <w:rFonts w:hAnsi="標楷體" w:hint="eastAsia"/>
        </w:rPr>
        <w:t>監察權發動「法令違憲審查權」是否侵害權力分立原則，業如前揭所述，</w:t>
      </w:r>
      <w:r w:rsidR="00451284" w:rsidRPr="00A973A2">
        <w:rPr>
          <w:rFonts w:hAnsi="標楷體" w:hint="eastAsia"/>
          <w:b/>
        </w:rPr>
        <w:t>另</w:t>
      </w:r>
      <w:r w:rsidR="005E3675" w:rsidRPr="00A973A2">
        <w:rPr>
          <w:rFonts w:hAnsi="標楷體" w:hint="eastAsia"/>
          <w:b/>
        </w:rPr>
        <w:t>就監察院聲請數量而言，從36年行憲</w:t>
      </w:r>
      <w:r w:rsidR="00B80A1A" w:rsidRPr="00A973A2">
        <w:rPr>
          <w:rFonts w:hAnsi="標楷體" w:hint="eastAsia"/>
          <w:b/>
        </w:rPr>
        <w:t>迄今計71年</w:t>
      </w:r>
      <w:r w:rsidR="005E3675" w:rsidRPr="00A973A2">
        <w:rPr>
          <w:rFonts w:hAnsi="標楷體" w:hint="eastAsia"/>
          <w:b/>
        </w:rPr>
        <w:t>，</w:t>
      </w:r>
      <w:r w:rsidR="00B80A1A" w:rsidRPr="00A973A2">
        <w:rPr>
          <w:rFonts w:hAnsi="標楷體" w:hint="eastAsia"/>
          <w:b/>
        </w:rPr>
        <w:t>期間</w:t>
      </w:r>
      <w:r w:rsidR="00D64E9B" w:rsidRPr="00A973A2">
        <w:rPr>
          <w:rFonts w:hAnsi="標楷體" w:hint="eastAsia"/>
          <w:b/>
        </w:rPr>
        <w:t>監察院</w:t>
      </w:r>
      <w:r w:rsidR="005E3675" w:rsidRPr="00A973A2">
        <w:rPr>
          <w:rFonts w:hAnsi="標楷體" w:hint="eastAsia"/>
          <w:b/>
        </w:rPr>
        <w:t>聲請釋憲</w:t>
      </w:r>
      <w:r w:rsidR="00B80A1A" w:rsidRPr="00A973A2">
        <w:rPr>
          <w:rFonts w:hAnsi="標楷體" w:hint="eastAsia"/>
          <w:b/>
        </w:rPr>
        <w:t>計</w:t>
      </w:r>
      <w:r w:rsidR="005E3675" w:rsidRPr="00A973A2">
        <w:rPr>
          <w:rFonts w:hAnsi="標楷體" w:hint="eastAsia"/>
          <w:b/>
        </w:rPr>
        <w:t>55件，</w:t>
      </w:r>
      <w:r w:rsidR="00B80A1A" w:rsidRPr="00A973A2">
        <w:rPr>
          <w:rFonts w:hAnsi="標楷體" w:hint="eastAsia"/>
          <w:b/>
        </w:rPr>
        <w:t>平均每年約</w:t>
      </w:r>
      <w:r w:rsidR="005E3675" w:rsidRPr="00A973A2">
        <w:rPr>
          <w:rFonts w:hAnsi="標楷體" w:hint="eastAsia"/>
          <w:b/>
        </w:rPr>
        <w:t>0.77</w:t>
      </w:r>
      <w:r w:rsidR="00B80A1A" w:rsidRPr="00A973A2">
        <w:rPr>
          <w:rFonts w:hAnsi="標楷體" w:hint="eastAsia"/>
          <w:b/>
        </w:rPr>
        <w:t>件</w:t>
      </w:r>
      <w:r w:rsidR="005E3675" w:rsidRPr="00A973A2">
        <w:rPr>
          <w:rFonts w:hAnsi="標楷體" w:hint="eastAsia"/>
          <w:b/>
        </w:rPr>
        <w:t>，</w:t>
      </w:r>
      <w:r w:rsidR="00B80A1A" w:rsidRPr="00A973A2">
        <w:rPr>
          <w:rFonts w:hAnsi="標楷體" w:hint="eastAsia"/>
          <w:b/>
        </w:rPr>
        <w:t>由</w:t>
      </w:r>
      <w:r w:rsidR="005E3675" w:rsidRPr="00A973A2">
        <w:rPr>
          <w:rFonts w:hAnsi="標楷體" w:hint="eastAsia"/>
          <w:b/>
        </w:rPr>
        <w:t>於監察院為合議制機關，聲請釋憲先</w:t>
      </w:r>
      <w:r w:rsidR="00B80A1A" w:rsidRPr="00A973A2">
        <w:rPr>
          <w:rFonts w:hAnsi="標楷體" w:hint="eastAsia"/>
          <w:b/>
        </w:rPr>
        <w:t>需</w:t>
      </w:r>
      <w:r w:rsidR="005E3675" w:rsidRPr="00A973A2">
        <w:rPr>
          <w:rFonts w:hAnsi="標楷體" w:hint="eastAsia"/>
          <w:b/>
        </w:rPr>
        <w:t>提出調查報告，</w:t>
      </w:r>
      <w:r w:rsidR="00B80A1A" w:rsidRPr="00A973A2">
        <w:rPr>
          <w:rFonts w:hAnsi="標楷體" w:hint="eastAsia"/>
          <w:b/>
        </w:rPr>
        <w:t>送請</w:t>
      </w:r>
      <w:r w:rsidR="005E3675" w:rsidRPr="00A973A2">
        <w:rPr>
          <w:rFonts w:hAnsi="標楷體" w:hint="eastAsia"/>
          <w:b/>
        </w:rPr>
        <w:t>業管委員會審議，再經司法及獄政委員會就是否符合司法院大法官審理案件法之構成要件為程序審查，最後需經監察院院會以討論事項議決。其監察行政審查流程，</w:t>
      </w:r>
      <w:r w:rsidR="00B80A1A" w:rsidRPr="00A973A2">
        <w:rPr>
          <w:rFonts w:hAnsi="標楷體" w:hint="eastAsia"/>
          <w:b/>
        </w:rPr>
        <w:t>約需耗時3</w:t>
      </w:r>
      <w:r w:rsidR="005E3675" w:rsidRPr="00A973A2">
        <w:rPr>
          <w:rFonts w:hAnsi="標楷體" w:hint="eastAsia"/>
          <w:b/>
        </w:rPr>
        <w:t>個月，許多</w:t>
      </w:r>
      <w:r w:rsidR="00B80A1A" w:rsidRPr="00A973A2">
        <w:rPr>
          <w:rFonts w:hAnsi="標楷體" w:hint="eastAsia"/>
          <w:b/>
        </w:rPr>
        <w:t>聲請</w:t>
      </w:r>
      <w:r w:rsidR="005E3675" w:rsidRPr="00A973A2">
        <w:rPr>
          <w:rFonts w:hAnsi="標楷體" w:hint="eastAsia"/>
          <w:b/>
        </w:rPr>
        <w:t>釋憲案均胎死腹中</w:t>
      </w:r>
      <w:r w:rsidR="00D64E9B" w:rsidRPr="00A973A2">
        <w:rPr>
          <w:rFonts w:hAnsi="標楷體" w:hint="eastAsia"/>
          <w:b/>
        </w:rPr>
        <w:t>，黨產會主委亦知之甚詳</w:t>
      </w:r>
      <w:r w:rsidR="00322BA8" w:rsidRPr="00A973A2">
        <w:rPr>
          <w:rStyle w:val="aff"/>
          <w:rFonts w:hAnsi="標楷體"/>
          <w:b/>
        </w:rPr>
        <w:footnoteReference w:id="32"/>
      </w:r>
      <w:r w:rsidR="00D64E9B" w:rsidRPr="00A973A2">
        <w:rPr>
          <w:rFonts w:hAnsi="標楷體" w:hint="eastAsia"/>
          <w:b/>
        </w:rPr>
        <w:t>，如何能發生監察院「大量交辦憲法解釋案件」之情形，並非事實。</w:t>
      </w:r>
    </w:p>
    <w:p w:rsidR="00451284" w:rsidRPr="00A973A2" w:rsidRDefault="00451284" w:rsidP="00451284"/>
    <w:p w:rsidR="00D64E9B" w:rsidRPr="00A973A2" w:rsidRDefault="00D64E9B" w:rsidP="00B80A1A">
      <w:pPr>
        <w:pStyle w:val="1"/>
        <w:ind w:left="680" w:hangingChars="200" w:hanging="680"/>
        <w:rPr>
          <w:rFonts w:hAnsi="標楷體"/>
        </w:rPr>
      </w:pPr>
      <w:r w:rsidRPr="00A973A2">
        <w:rPr>
          <w:rFonts w:hAnsi="標楷體" w:hint="eastAsia"/>
        </w:rPr>
        <w:t>綜上所述，</w:t>
      </w:r>
      <w:r w:rsidR="00F04244" w:rsidRPr="00A973A2">
        <w:rPr>
          <w:rFonts w:hAnsi="標楷體" w:hint="eastAsia"/>
        </w:rPr>
        <w:t>尼采在善惡的彼岸書中曾說：「與怪物戰鬥的人，應當小心自己不要成為怪物。當你長久凝視深淵時，同時深淵也在凝視你。」</w:t>
      </w:r>
      <w:r w:rsidR="00F04244" w:rsidRPr="00A973A2">
        <w:rPr>
          <w:rStyle w:val="aff"/>
          <w:rFonts w:hAnsi="標楷體"/>
        </w:rPr>
        <w:footnoteReference w:id="33"/>
      </w:r>
      <w:r w:rsidR="00F04244" w:rsidRPr="00A973A2">
        <w:rPr>
          <w:rFonts w:hAnsi="標楷體" w:hint="eastAsia"/>
        </w:rPr>
        <w:t>，卡謬說</w:t>
      </w:r>
      <w:r w:rsidR="00B80A1A" w:rsidRPr="00A973A2">
        <w:rPr>
          <w:rFonts w:hAnsi="標楷體" w:hint="eastAsia"/>
        </w:rPr>
        <w:t>：</w:t>
      </w:r>
      <w:r w:rsidR="00F04244" w:rsidRPr="00A973A2">
        <w:rPr>
          <w:rFonts w:hAnsi="標楷體" w:hint="eastAsia"/>
        </w:rPr>
        <w:t>「我反抗，故我們存在」，正如耶林在「為法律而</w:t>
      </w:r>
      <w:r w:rsidR="00382231" w:rsidRPr="00A973A2">
        <w:rPr>
          <w:rFonts w:hAnsi="標楷體" w:hint="eastAsia"/>
        </w:rPr>
        <w:t>奮鬥</w:t>
      </w:r>
      <w:r w:rsidR="00F04244" w:rsidRPr="00A973A2">
        <w:rPr>
          <w:rFonts w:hAnsi="標楷體" w:hint="eastAsia"/>
        </w:rPr>
        <w:t>」</w:t>
      </w:r>
      <w:r w:rsidR="002C584C" w:rsidRPr="00A973A2">
        <w:rPr>
          <w:rFonts w:hAnsi="標楷體" w:hint="eastAsia"/>
        </w:rPr>
        <w:t>提及，</w:t>
      </w:r>
      <w:r w:rsidR="00CE6419" w:rsidRPr="00A973A2">
        <w:rPr>
          <w:rFonts w:hAnsi="標楷體" w:hint="eastAsia"/>
        </w:rPr>
        <w:t>法的目標是和平，而實現和平的手段是奮鬥</w:t>
      </w:r>
      <w:r w:rsidR="00F04244" w:rsidRPr="00A973A2">
        <w:rPr>
          <w:rFonts w:hAnsi="標楷體" w:hint="eastAsia"/>
        </w:rPr>
        <w:t>，大凡一切權利的前提就</w:t>
      </w:r>
      <w:r w:rsidR="00E54B92" w:rsidRPr="00A973A2">
        <w:rPr>
          <w:rFonts w:hAnsi="標楷體" w:hint="eastAsia"/>
        </w:rPr>
        <w:t>在於時刻準備</w:t>
      </w:r>
      <w:r w:rsidR="00F04244" w:rsidRPr="00A973A2">
        <w:rPr>
          <w:rFonts w:hAnsi="標楷體" w:hint="eastAsia"/>
        </w:rPr>
        <w:t>去主張權利</w:t>
      </w:r>
      <w:r w:rsidR="00F21446" w:rsidRPr="00A973A2">
        <w:rPr>
          <w:rFonts w:hAnsi="標楷體" w:hint="eastAsia"/>
        </w:rPr>
        <w:t>。法</w:t>
      </w:r>
      <w:r w:rsidR="00CE6419" w:rsidRPr="00A973A2">
        <w:rPr>
          <w:rFonts w:hAnsi="標楷體" w:hint="eastAsia"/>
        </w:rPr>
        <w:t>律不僅</w:t>
      </w:r>
      <w:r w:rsidR="00F21446" w:rsidRPr="00A973A2">
        <w:rPr>
          <w:rFonts w:hAnsi="標楷體" w:hint="eastAsia"/>
        </w:rPr>
        <w:t>是思想，而是活的力量。</w:t>
      </w:r>
      <w:r w:rsidR="00CE6419" w:rsidRPr="00A973A2">
        <w:rPr>
          <w:rFonts w:hAnsi="標楷體" w:hint="eastAsia"/>
        </w:rPr>
        <w:t>在為法律奮鬥中，反抗者將自己置身於自我覺醒當中，這就是為什麼作為反抗者，不僅是就違背法律價值說「不」的人，同時也是對於自己捍衛法律</w:t>
      </w:r>
      <w:r w:rsidR="00F04244" w:rsidRPr="00A973A2">
        <w:rPr>
          <w:rFonts w:hAnsi="標楷體" w:hint="eastAsia"/>
        </w:rPr>
        <w:t>價值說「是」的人。然而，然而在人類的歷史上，反抗者</w:t>
      </w:r>
      <w:r w:rsidR="00E54B92" w:rsidRPr="00A973A2">
        <w:rPr>
          <w:rFonts w:hAnsi="標楷體" w:hint="eastAsia"/>
        </w:rPr>
        <w:t>成為掌權者</w:t>
      </w:r>
      <w:r w:rsidR="00F04244" w:rsidRPr="00A973A2">
        <w:rPr>
          <w:rFonts w:hAnsi="標楷體" w:hint="eastAsia"/>
        </w:rPr>
        <w:t>常會不擇手段而成為極權者與獨裁者，</w:t>
      </w:r>
      <w:r w:rsidR="00D006A3" w:rsidRPr="00A973A2">
        <w:rPr>
          <w:rFonts w:hAnsi="標楷體" w:hint="eastAsia"/>
        </w:rPr>
        <w:t>如果目的是正義的，可以不擇手段、可以殺人嗎？如果是合法</w:t>
      </w:r>
      <w:r w:rsidR="00F04244" w:rsidRPr="00A973A2">
        <w:rPr>
          <w:rFonts w:hAnsi="標楷體" w:hint="eastAsia"/>
        </w:rPr>
        <w:t>，就可以不</w:t>
      </w:r>
      <w:r w:rsidR="00D006A3" w:rsidRPr="00A973A2">
        <w:rPr>
          <w:rFonts w:hAnsi="標楷體" w:hint="eastAsia"/>
        </w:rPr>
        <w:t>顧一切</w:t>
      </w:r>
      <w:r w:rsidR="00F04244" w:rsidRPr="00A973A2">
        <w:rPr>
          <w:rFonts w:hAnsi="標楷體" w:hint="eastAsia"/>
        </w:rPr>
        <w:t>依法行政嗎？</w:t>
      </w:r>
      <w:r w:rsidR="00FF40B2" w:rsidRPr="00A973A2">
        <w:rPr>
          <w:rFonts w:hAnsi="標楷體" w:hint="eastAsia"/>
        </w:rPr>
        <w:t>可以</w:t>
      </w:r>
      <w:r w:rsidR="00E54B92" w:rsidRPr="00A973A2">
        <w:rPr>
          <w:rFonts w:hAnsi="標楷體" w:hint="eastAsia"/>
        </w:rPr>
        <w:t>為了正義</w:t>
      </w:r>
      <w:r w:rsidR="00F04244" w:rsidRPr="00A973A2">
        <w:rPr>
          <w:rFonts w:hAnsi="標楷體" w:hint="eastAsia"/>
        </w:rPr>
        <w:t>讓渡一切合理手段的作法</w:t>
      </w:r>
      <w:r w:rsidR="00E54B92" w:rsidRPr="00A973A2">
        <w:rPr>
          <w:rFonts w:hAnsi="標楷體" w:hint="eastAsia"/>
        </w:rPr>
        <w:t>嗎</w:t>
      </w:r>
      <w:r w:rsidR="00D006A3" w:rsidRPr="00A973A2">
        <w:rPr>
          <w:rFonts w:hAnsi="標楷體" w:hint="eastAsia"/>
        </w:rPr>
        <w:t>？作為反抗者在向世界中心不斷吶喊的同時，</w:t>
      </w:r>
      <w:r w:rsidR="00FF40B2" w:rsidRPr="00A973A2">
        <w:rPr>
          <w:rFonts w:hAnsi="標楷體" w:hint="eastAsia"/>
        </w:rPr>
        <w:t>也</w:t>
      </w:r>
      <w:r w:rsidR="00D006A3" w:rsidRPr="00A973A2">
        <w:rPr>
          <w:rFonts w:hAnsi="標楷體" w:hint="eastAsia"/>
        </w:rPr>
        <w:t>應該無時無刻追求</w:t>
      </w:r>
      <w:r w:rsidR="002C584C" w:rsidRPr="00A973A2">
        <w:rPr>
          <w:rFonts w:hAnsi="標楷體" w:hint="eastAsia"/>
        </w:rPr>
        <w:t>「</w:t>
      </w:r>
      <w:r w:rsidR="00D006A3" w:rsidRPr="00A973A2">
        <w:rPr>
          <w:rFonts w:hAnsi="標楷體" w:hint="eastAsia"/>
        </w:rPr>
        <w:t>真理</w:t>
      </w:r>
      <w:r w:rsidR="002C584C" w:rsidRPr="00A973A2">
        <w:rPr>
          <w:rFonts w:hAnsi="標楷體" w:hint="eastAsia"/>
        </w:rPr>
        <w:t>」</w:t>
      </w:r>
      <w:r w:rsidR="00D006A3" w:rsidRPr="00A973A2">
        <w:rPr>
          <w:rFonts w:hAnsi="標楷體" w:hint="eastAsia"/>
        </w:rPr>
        <w:t>的意義，不是因為自由而可以反抗，而是必須透過反抗，才能擺脫奴役而帶來真正的自由。本件釋憲案正如</w:t>
      </w:r>
      <w:r w:rsidR="00FF40B2" w:rsidRPr="00A973A2">
        <w:rPr>
          <w:rFonts w:hAnsi="標楷體" w:hint="eastAsia"/>
        </w:rPr>
        <w:t>釋憲</w:t>
      </w:r>
      <w:r w:rsidR="00D006A3" w:rsidRPr="00A973A2">
        <w:rPr>
          <w:rFonts w:hAnsi="標楷體" w:hint="eastAsia"/>
        </w:rPr>
        <w:t>理由</w:t>
      </w:r>
      <w:r w:rsidR="00FF40B2" w:rsidRPr="00A973A2">
        <w:rPr>
          <w:rFonts w:hAnsi="標楷體" w:hint="eastAsia"/>
        </w:rPr>
        <w:t>書</w:t>
      </w:r>
      <w:r w:rsidR="00D006A3" w:rsidRPr="00A973A2">
        <w:rPr>
          <w:rFonts w:hAnsi="標楷體" w:hint="eastAsia"/>
        </w:rPr>
        <w:t>結論所提「回顧歷史，人類錯誤多在愚昧中不斷重複發生，採用違法手段追求正義，正義不因而會實現」使用違憲的法律暴力，將使國民再也不尊重法律，</w:t>
      </w:r>
      <w:r w:rsidR="00E54B92" w:rsidRPr="00A973A2">
        <w:rPr>
          <w:rFonts w:hAnsi="標楷體" w:hint="eastAsia"/>
        </w:rPr>
        <w:t>將迫使受到權利侵害的人</w:t>
      </w:r>
      <w:r w:rsidR="00F21446" w:rsidRPr="00A973A2">
        <w:rPr>
          <w:rFonts w:hAnsi="標楷體" w:hint="eastAsia"/>
        </w:rPr>
        <w:t>，</w:t>
      </w:r>
      <w:r w:rsidR="002C584C" w:rsidRPr="00A973A2">
        <w:rPr>
          <w:rFonts w:hAnsi="標楷體" w:hint="eastAsia"/>
        </w:rPr>
        <w:t>成為「威尼斯的商人」，法律將喪失定分止爭功能，臺</w:t>
      </w:r>
      <w:r w:rsidR="00CE6419" w:rsidRPr="00A973A2">
        <w:rPr>
          <w:rFonts w:hAnsi="標楷體" w:hint="eastAsia"/>
        </w:rPr>
        <w:t>灣社會必更加紊亂。正義的實現必須依賴理性的法律</w:t>
      </w:r>
      <w:r w:rsidR="00E54B92" w:rsidRPr="00A973A2">
        <w:rPr>
          <w:rFonts w:hAnsi="標楷體" w:hint="eastAsia"/>
        </w:rPr>
        <w:t>。司法院大法官作為國家</w:t>
      </w:r>
      <w:r w:rsidR="002C584C" w:rsidRPr="00A973A2">
        <w:rPr>
          <w:rFonts w:hAnsi="標楷體" w:hint="eastAsia"/>
        </w:rPr>
        <w:t>「理性」</w:t>
      </w:r>
      <w:r w:rsidR="00E54B92" w:rsidRPr="00A973A2">
        <w:rPr>
          <w:rFonts w:hAnsi="標楷體" w:hint="eastAsia"/>
        </w:rPr>
        <w:t>法律制度捍衛者，</w:t>
      </w:r>
      <w:r w:rsidR="00CE6419" w:rsidRPr="00A973A2">
        <w:rPr>
          <w:rFonts w:hAnsi="標楷體" w:hint="eastAsia"/>
        </w:rPr>
        <w:t>責任何其艱鉅，在</w:t>
      </w:r>
      <w:r w:rsidR="00FF40B2" w:rsidRPr="00A973A2">
        <w:rPr>
          <w:rFonts w:hAnsi="標楷體" w:hint="eastAsia"/>
        </w:rPr>
        <w:t>此重大憲政時刻，自不宜輕易退縮，而損傷司法威信，</w:t>
      </w:r>
      <w:r w:rsidR="00F21446" w:rsidRPr="00A973A2">
        <w:rPr>
          <w:rFonts w:hAnsi="標楷體" w:hint="eastAsia"/>
        </w:rPr>
        <w:t>監察院</w:t>
      </w:r>
      <w:r w:rsidR="00FF40B2" w:rsidRPr="00A973A2">
        <w:rPr>
          <w:rFonts w:hAnsi="標楷體" w:hint="eastAsia"/>
        </w:rPr>
        <w:t>期待司法權如同聖經</w:t>
      </w:r>
      <w:r w:rsidR="00F21446" w:rsidRPr="00A973A2">
        <w:rPr>
          <w:rFonts w:hAnsi="標楷體" w:hint="eastAsia"/>
        </w:rPr>
        <w:t>所說</w:t>
      </w:r>
      <w:r w:rsidR="002C584C" w:rsidRPr="00A973A2">
        <w:rPr>
          <w:rFonts w:hAnsi="標楷體" w:hint="eastAsia"/>
        </w:rPr>
        <w:t>：「</w:t>
      </w:r>
      <w:r w:rsidR="00FF40B2" w:rsidRPr="00A973A2">
        <w:rPr>
          <w:rFonts w:hAnsi="標楷體" w:hint="eastAsia"/>
        </w:rPr>
        <w:t>公義使邦國高舉（箴言第14章第34節）；我在公義的道上走，在公平的路中行（箴言第8章第20</w:t>
      </w:r>
      <w:r w:rsidR="002C584C" w:rsidRPr="00A973A2">
        <w:rPr>
          <w:rFonts w:hAnsi="標楷體" w:hint="eastAsia"/>
        </w:rPr>
        <w:t>節）」</w:t>
      </w:r>
      <w:r w:rsidR="00F21446" w:rsidRPr="00A973A2">
        <w:rPr>
          <w:rFonts w:hAnsi="標楷體" w:hint="eastAsia"/>
        </w:rPr>
        <w:t>，為臺灣民主憲政之發展建立重要之里程碑</w:t>
      </w:r>
      <w:r w:rsidR="00FF40B2" w:rsidRPr="00A973A2">
        <w:rPr>
          <w:rFonts w:hAnsi="標楷體" w:hint="eastAsia"/>
        </w:rPr>
        <w:t>。</w:t>
      </w:r>
    </w:p>
    <w:sectPr w:rsidR="00D64E9B" w:rsidRPr="00A973A2" w:rsidSect="00D133D7">
      <w:footerReference w:type="default" r:id="rId13"/>
      <w:pgSz w:w="11907" w:h="16840" w:code="9"/>
      <w:pgMar w:top="1701" w:right="1418" w:bottom="1418" w:left="1418" w:header="851" w:footer="964"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C43" w:rsidRDefault="00965C43">
      <w:r>
        <w:separator/>
      </w:r>
    </w:p>
  </w:endnote>
  <w:endnote w:type="continuationSeparator" w:id="0">
    <w:p w:rsidR="00965C43" w:rsidRDefault="0096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DC" w:rsidRDefault="00032BD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875E8">
      <w:rPr>
        <w:rStyle w:val="ac"/>
        <w:noProof/>
        <w:sz w:val="24"/>
      </w:rPr>
      <w:t>1</w:t>
    </w:r>
    <w:r>
      <w:rPr>
        <w:rStyle w:val="ac"/>
        <w:sz w:val="24"/>
      </w:rPr>
      <w:fldChar w:fldCharType="end"/>
    </w:r>
  </w:p>
  <w:p w:rsidR="00032BDC" w:rsidRDefault="00032BD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C43" w:rsidRDefault="00965C43">
      <w:r>
        <w:separator/>
      </w:r>
    </w:p>
  </w:footnote>
  <w:footnote w:type="continuationSeparator" w:id="0">
    <w:p w:rsidR="00965C43" w:rsidRDefault="00965C43">
      <w:r>
        <w:continuationSeparator/>
      </w:r>
    </w:p>
  </w:footnote>
  <w:footnote w:id="1">
    <w:p w:rsidR="00032BDC" w:rsidRPr="00B916E6" w:rsidRDefault="00032BDC" w:rsidP="004F298E">
      <w:pPr>
        <w:pStyle w:val="afd"/>
        <w:ind w:left="198" w:hanging="198"/>
        <w:jc w:val="both"/>
        <w:rPr>
          <w:rFonts w:hAnsi="標楷體"/>
          <w:b/>
        </w:rPr>
      </w:pPr>
      <w:r w:rsidRPr="00B916E6">
        <w:rPr>
          <w:rStyle w:val="aff"/>
          <w:rFonts w:hAnsi="標楷體"/>
        </w:rPr>
        <w:footnoteRef/>
      </w:r>
      <w:r w:rsidRPr="00B916E6">
        <w:rPr>
          <w:rFonts w:hAnsi="標楷體" w:hint="eastAsia"/>
        </w:rPr>
        <w:t xml:space="preserve"> 傳統監察機關的普遍定義為：依據憲法或由立法部門、國會決議所成立的辦公室，由獨立、高階官員領導，對立法部門或國會負責，受理受害民眾對於政府機關、官員與雇員的投訴，具有調查、建議與提出報告的權力；傳統監察使亦可主動調查。</w:t>
      </w:r>
      <w:r w:rsidRPr="00B916E6">
        <w:rPr>
          <w:rFonts w:hAnsi="標楷體" w:hint="eastAsia"/>
          <w:b/>
        </w:rPr>
        <w:t>監察使受理民眾陳情案件，有權調查政府違法施政，或更廣泛而言，不公正或不適當的施政；而民眾具有向監察使提出陳情的權利。許多監察使也有主動調查的權力，且在某些職權範圍內，立法機關或行政部會也可將案件提送監察使調查。</w:t>
      </w:r>
      <w:r w:rsidRPr="00B916E6">
        <w:rPr>
          <w:rFonts w:hAnsi="標楷體" w:hint="eastAsia"/>
        </w:rPr>
        <w:t xml:space="preserve"> 傳統監察使通常僅能處理直接涉及政府的陳情，但一般而言無權調查私部門之間的投訴。 然而有些混合式人權監察機關則有權處理公部門與私部門的陳情案件。</w:t>
      </w:r>
      <w:r w:rsidRPr="00B916E6">
        <w:rPr>
          <w:rFonts w:hAnsi="標楷體" w:hint="eastAsia"/>
          <w:b/>
        </w:rPr>
        <w:t>監察使的調查職權範圍涵蓋許多政府部門、機關、國營企業與行政官員，但其管轄權並不包括立法機關。</w:t>
      </w:r>
      <w:r w:rsidRPr="00B916E6">
        <w:rPr>
          <w:rFonts w:hAnsi="標楷體"/>
          <w:b/>
        </w:rPr>
        <w:t>……</w:t>
      </w:r>
      <w:r w:rsidRPr="00B916E6">
        <w:rPr>
          <w:rFonts w:hAnsi="標楷體" w:hint="eastAsia"/>
          <w:b/>
        </w:rPr>
        <w:t>。監察使被賦予強大的調查權，包括在必要情況下，以傳票強制提交文件以及證人出席與作證。雖然這是很重要的預防措施，但實務上並不常用這些強大的權力。包括歐洲在內的許多監察使，有權監督政府強制拘留人民的機構，包括監獄與精神病患照護中心。</w:t>
      </w:r>
      <w:r w:rsidRPr="00B916E6">
        <w:rPr>
          <w:rFonts w:hAnsi="標楷體" w:hint="eastAsia"/>
        </w:rPr>
        <w:t>經過公正客觀的調查後，監察使即可判斷行為是否失當，並可判定政府單位或官員行為之得當與否，亦即是否合法、公平？</w:t>
      </w:r>
      <w:r w:rsidRPr="00B916E6">
        <w:rPr>
          <w:rFonts w:hAnsi="標楷體" w:hint="eastAsia"/>
          <w:b/>
          <w:u w:val="single"/>
        </w:rPr>
        <w:t>若調查結果發現不當行為，監察使有權提出對於行政措施與政策的建議，以避免問題再次發生。許多監察使也具有建議修改法律的權力</w:t>
      </w:r>
      <w:r w:rsidRPr="00B916E6">
        <w:rPr>
          <w:rFonts w:hAnsi="標楷體" w:hint="eastAsia"/>
          <w:u w:val="single"/>
        </w:rPr>
        <w:t xml:space="preserve">。 </w:t>
      </w:r>
      <w:r w:rsidRPr="00B916E6">
        <w:rPr>
          <w:rFonts w:hAnsi="標楷體" w:hint="eastAsia"/>
        </w:rPr>
        <w:t>此外，監察使也有提出報告的義務；在某些特定調查行動結束後，監察使需向陳情人與政府報告。若行政部門未執行其所提建議，則監察使可向立法部門報告。除此之外，監察使也有向立法部門提出年度報告的責任，以說明該機構之各項工作。更有甚者，監</w:t>
      </w:r>
      <w:r w:rsidRPr="00B916E6">
        <w:rPr>
          <w:rFonts w:hAnsi="標楷體" w:hint="eastAsia"/>
          <w:b/>
        </w:rPr>
        <w:t>察使也可就特殊或重大調查案件，提出特別報告。見</w:t>
      </w:r>
      <w:r w:rsidRPr="00B916E6">
        <w:rPr>
          <w:rFonts w:hAnsi="標楷體"/>
          <w:b/>
        </w:rPr>
        <w:t xml:space="preserve">Linda C. </w:t>
      </w:r>
      <w:proofErr w:type="spellStart"/>
      <w:r w:rsidRPr="00B916E6">
        <w:rPr>
          <w:rFonts w:hAnsi="標楷體"/>
          <w:b/>
        </w:rPr>
        <w:t>Reif</w:t>
      </w:r>
      <w:proofErr w:type="spellEnd"/>
      <w:r w:rsidRPr="00B916E6">
        <w:rPr>
          <w:rFonts w:hAnsi="標楷體" w:hint="eastAsia"/>
          <w:b/>
        </w:rPr>
        <w:t>，監察與人權－良好治理及國際人權體系（</w:t>
      </w:r>
      <w:r w:rsidRPr="00B916E6">
        <w:rPr>
          <w:rFonts w:hAnsi="標楷體"/>
          <w:b/>
        </w:rPr>
        <w:t xml:space="preserve">The </w:t>
      </w:r>
      <w:proofErr w:type="spellStart"/>
      <w:r w:rsidRPr="00B916E6">
        <w:rPr>
          <w:rFonts w:hAnsi="標楷體"/>
          <w:b/>
        </w:rPr>
        <w:t>Ombudsman,Good</w:t>
      </w:r>
      <w:proofErr w:type="spellEnd"/>
      <w:r w:rsidRPr="00B916E6">
        <w:rPr>
          <w:rFonts w:hAnsi="標楷體"/>
          <w:b/>
        </w:rPr>
        <w:t xml:space="preserve"> Governance</w:t>
      </w:r>
      <w:r w:rsidRPr="00B916E6">
        <w:rPr>
          <w:rFonts w:hAnsi="標楷體" w:hint="eastAsia"/>
          <w:b/>
        </w:rPr>
        <w:t xml:space="preserve"> </w:t>
      </w:r>
      <w:r w:rsidRPr="00B916E6">
        <w:rPr>
          <w:rFonts w:hAnsi="標楷體"/>
          <w:b/>
        </w:rPr>
        <w:t>and the International</w:t>
      </w:r>
      <w:r w:rsidRPr="00B916E6">
        <w:rPr>
          <w:rFonts w:hAnsi="標楷體" w:hint="eastAsia"/>
          <w:b/>
        </w:rPr>
        <w:t xml:space="preserve"> </w:t>
      </w:r>
      <w:r w:rsidRPr="00B916E6">
        <w:rPr>
          <w:rFonts w:hAnsi="標楷體"/>
          <w:b/>
        </w:rPr>
        <w:t>Human rights System</w:t>
      </w:r>
      <w:r w:rsidRPr="00B916E6">
        <w:rPr>
          <w:rFonts w:hAnsi="標楷體" w:hint="eastAsia"/>
          <w:b/>
        </w:rPr>
        <w:t xml:space="preserve">），監察院，頁2-3。又例如歐洲議會1994年3月9日作成關於監察使職權行使之法規與一般條件之決定（94/262/ECSC, EC, </w:t>
      </w:r>
      <w:proofErr w:type="spellStart"/>
      <w:r w:rsidRPr="00B916E6">
        <w:rPr>
          <w:rFonts w:hAnsi="標楷體" w:hint="eastAsia"/>
          <w:b/>
        </w:rPr>
        <w:t>Euratom</w:t>
      </w:r>
      <w:proofErr w:type="spellEnd"/>
      <w:r w:rsidRPr="00B916E6">
        <w:rPr>
          <w:rFonts w:hAnsi="標楷體" w:hint="eastAsia"/>
          <w:b/>
        </w:rPr>
        <w:t>）……鑑於陳情案可能被轉陳給監察使所發生的種種情況，以及監察使職權行使之表現與法律或行政程序之間的關係，都應該加以規範；鑑於採取主動調查的監察使，必須能接近所有足以協助履行其職責的要素；為達成此一目標，除非其資訊有須保密之正當及充分理由外，否則歐洲共同體之機構及單位有責任提供監察使所要求之任何資訊，而且不得因對於監察使之職責存有成見而不願提供；鑑於所有歐盟會員國政府機關，有責任提供監察使所需資訊，……鑑於監察使調查揭露不當行政之案例，必須明定所須遵行之規定程序；鑑於監察使在每年年底也應對歐洲議會呈送完整報告；第2條規定接受陳情第3條規定調查職權、建議權與提出報告之義務等，亦接受陳情、調查與提出調查報告作為行使職權之具體內容。</w:t>
      </w:r>
    </w:p>
  </w:footnote>
  <w:footnote w:id="2">
    <w:p w:rsidR="00032BDC" w:rsidRPr="00B916E6" w:rsidRDefault="00032BDC" w:rsidP="004F298E">
      <w:pPr>
        <w:pStyle w:val="afd"/>
        <w:ind w:left="198" w:hanging="198"/>
        <w:jc w:val="both"/>
        <w:rPr>
          <w:rFonts w:hAnsi="標楷體"/>
        </w:rPr>
      </w:pPr>
      <w:r w:rsidRPr="00B916E6">
        <w:rPr>
          <w:rStyle w:val="aff"/>
          <w:rFonts w:hAnsi="標楷體"/>
        </w:rPr>
        <w:footnoteRef/>
      </w:r>
      <w:r w:rsidRPr="00B916E6">
        <w:rPr>
          <w:rFonts w:hAnsi="標楷體"/>
        </w:rPr>
        <w:t xml:space="preserve"> </w:t>
      </w:r>
      <w:r w:rsidRPr="00B916E6">
        <w:rPr>
          <w:rFonts w:hAnsi="標楷體" w:hint="eastAsia"/>
        </w:rPr>
        <w:t>例如，德國基本法增訂第45</w:t>
      </w:r>
      <w:r w:rsidRPr="00B916E6">
        <w:rPr>
          <w:rFonts w:hAnsi="標楷體" w:hint="eastAsia"/>
        </w:rPr>
        <w:t>條之3：「聯邦議會應設請願委員會，掌理人民依本法第十七條向聯邦議會所提出請願及申訴之處理。」</w:t>
      </w:r>
      <w:r w:rsidRPr="00B916E6">
        <w:rPr>
          <w:rFonts w:hAnsi="標楷體" w:hint="eastAsia"/>
          <w:b/>
        </w:rPr>
        <w:t>調查人員提出之處理建議，大致可分為下列三大類：1.繼續調查事實：調查方法包括要求聯邦政府提出報告、邀請聯邦政府代表出席委員會、調閱卷證、對申訴人或請願人、證人或其他鑑定人進行訊問，以及現場勘驗等。2.要求暫時停止執行：請願或申訴案如涉及即將執行之行政行為，調查人員得建議要求聯邦政府或有關主管機關暫時停止執行</w:t>
      </w:r>
      <w:r w:rsidRPr="00B916E6">
        <w:rPr>
          <w:rFonts w:hAnsi="標楷體" w:hint="eastAsia"/>
        </w:rPr>
        <w:t>，直至請願委員會對該案件作出決議為止。3.終結處理程序：即建議請願委員會藉由採取下列幾種方式，終結案件處理程序：(1)將案件移轉至聯邦政府，要求給予必要之救濟。(2)將案件移轉至聯邦政府，請其再次對請願或申訴事項加以考量。(3)將案件移轉至聯邦政府，以供草擬法案、命令及其他提案參考。(4)將案件移轉至聯邦政府，作為施政參考。(5)將案件移轉至聯邦議會各黨團，供作問政資料或提案依據。(6)如屬歐洲議會管轄事務，則將案件移轉至歐洲議會。擔任案件報告人之委員，對於要求聯邦政府或主管機關暫時停止執行行政行為之建議，應立即審查；其他處理建議，則應於調查人員提出後三週內完成審查，並向請願委員會提出處理方式之聲請。此即為以接受請願與調查為監察制度之核心，見德國監察制度之運作，監察院出版，頁31。</w:t>
      </w:r>
    </w:p>
  </w:footnote>
  <w:footnote w:id="3">
    <w:p w:rsidR="00032BDC" w:rsidRPr="00B916E6" w:rsidRDefault="00032BDC" w:rsidP="004F298E">
      <w:pPr>
        <w:pStyle w:val="afd"/>
        <w:ind w:left="198" w:hanging="198"/>
        <w:jc w:val="both"/>
        <w:rPr>
          <w:rFonts w:hAnsi="標楷體"/>
        </w:rPr>
      </w:pPr>
      <w:r w:rsidRPr="00B916E6">
        <w:rPr>
          <w:rStyle w:val="aff"/>
          <w:rFonts w:hAnsi="標楷體"/>
        </w:rPr>
        <w:footnoteRef/>
      </w:r>
      <w:r w:rsidRPr="00B916E6">
        <w:rPr>
          <w:rFonts w:hAnsi="標楷體"/>
        </w:rPr>
        <w:t xml:space="preserve"> </w:t>
      </w:r>
      <w:r w:rsidRPr="00B916E6">
        <w:rPr>
          <w:rFonts w:hAnsi="標楷體" w:hint="eastAsia"/>
        </w:rPr>
        <w:t>例如瑞典國會監察使得擔任特別檢察官具有刑事起訴權，依據瑞典國會監察使法第6</w:t>
      </w:r>
      <w:r w:rsidRPr="00B916E6">
        <w:rPr>
          <w:rFonts w:hAnsi="標楷體" w:hint="eastAsia"/>
        </w:rPr>
        <w:t>條規定：「監察使以決議結案，針對相關單位或公職人員所採取之措施是否違法、錯誤或不當提出意見。監察使亦可就提倡統一和正確的法律適用方式發表聲明。</w:t>
      </w:r>
      <w:r w:rsidRPr="00B916E6">
        <w:rPr>
          <w:rFonts w:hAnsi="標楷體" w:hint="eastAsia"/>
          <w:b/>
        </w:rPr>
        <w:t>至於其特別檢察官的角色，如公職人員罔顧其職務或職責，觸犯新聞自由法或言論自由權以外之罪行，監察使可主動提出訴訟。如深入調查案件後使監察使獲致確實有犯罪行為之結論，依法律中訂定有初步調查、起訴或放棄起訴，以及賦予檢察官提起公訴之權力。</w:t>
      </w:r>
      <w:r w:rsidRPr="00B916E6">
        <w:rPr>
          <w:rFonts w:hAnsi="標楷體" w:hint="eastAsia"/>
        </w:rPr>
        <w:t>提交地方法院之案件非有特殊原因不得轉呈最高法院。如欲就罔顧職務或職責之公職人員採取紀律處分，監察使可向有權決定處分之單位報告相關事宜。如具備醫療界、牙醫、藥劑品零售、獸醫等執業的專業資格，但其明顯的不夠專業或不適任，則監察使可向相關有權決定撤銷其資格之單位提交報告。遇擁有相關資格卻濫用其權力，亦可提出類似前述撤銷資格之要求。具備醫療界、牙醫、藥劑品零售執業的專業資格，但其不夠專業或不適任時，則監察使可向相關有權決定之單位要求先給予試用期限。如監察使認為某官員因犯罪行為或瀆職應予免職或暫時停職，則監察使可向有權做出裁決之單位提出報告。當監察使就前二項所述提出報告時，其得以加入個人調查結果，並可對他人的調查結果表示意見，也有權在必要時出席口頭詢問的場合。惟其不適用於暫停職務之案件。」見瑞典國會監察使，監察院出版，頁131。</w:t>
      </w:r>
    </w:p>
  </w:footnote>
  <w:footnote w:id="4">
    <w:p w:rsidR="00032BDC" w:rsidRPr="00B916E6" w:rsidRDefault="00032BDC" w:rsidP="00A4605C">
      <w:pPr>
        <w:pStyle w:val="afd"/>
        <w:ind w:left="198" w:hanging="198"/>
        <w:jc w:val="both"/>
        <w:rPr>
          <w:rFonts w:hAnsi="標楷體"/>
        </w:rPr>
      </w:pPr>
      <w:r w:rsidRPr="00B916E6">
        <w:rPr>
          <w:rStyle w:val="aff"/>
          <w:rFonts w:hAnsi="標楷體"/>
        </w:rPr>
        <w:footnoteRef/>
      </w:r>
      <w:r w:rsidRPr="00B916E6">
        <w:rPr>
          <w:rFonts w:hAnsi="標楷體"/>
        </w:rPr>
        <w:t xml:space="preserve"> </w:t>
      </w:r>
      <w:r w:rsidRPr="00B916E6">
        <w:rPr>
          <w:rFonts w:hAnsi="標楷體" w:hint="eastAsia"/>
        </w:rPr>
        <w:t>聯合國在定義國家人權組織時係以功能為導向並體認到：「人權機構精確分類十分困難，因為經由分類指出的功能無法完全反映機構的實務。例如，「監察機關」也可能如同委員會一樣參與促進與保障性活動。</w:t>
      </w:r>
      <w:r w:rsidRPr="00B916E6">
        <w:rPr>
          <w:rFonts w:hAnsi="標楷體" w:hint="eastAsia"/>
          <w:b/>
        </w:rPr>
        <w:t>而稱為「人權委員會」的實體，卻可能只在公共行政的範疇內運作---</w:t>
      </w:r>
      <w:r w:rsidRPr="00B916E6">
        <w:rPr>
          <w:rFonts w:hAnsi="標楷體" w:hint="eastAsia"/>
          <w:b/>
        </w:rPr>
        <w:t>這通常屬於監察機關的職權範圍。設置混合式監察機關的優點是：(1)單一辦公室比分開成立兩個機構所需要的財務與人力資源節省。(2)人權侵犯案與人權行政不公(合署辦公)有時重疊，混合機關可以避免工作重複，且不會造成民眾對投訴機構的混淆。(3)專業長才可集中在單一機關。(4)聚焦於單一組織比較容易引起社會關注，也更能對抗行政機關削弱或破壞其運作。特別在新興民主國家的財務與人力資源有限情形，設立混合式機關會比分別設立監察機關與人權委員會更為可行。</w:t>
      </w:r>
      <w:r w:rsidRPr="00B916E6">
        <w:rPr>
          <w:rFonts w:hAnsi="標楷體" w:hint="eastAsia"/>
        </w:rPr>
        <w:t xml:space="preserve">」見聯合國人權中心(United Nations Centre for Human Rights)，國家人權機構：設置與強化促進與保護人權國家機構的手冊(National Human Rights Institutions: A Handbook on the Establishment and Strengthening of National Institutions for the Promotion and Protection of Human Rights)，專業訓練系列4 (Professional Training Series No. 4)，UN Doc. HR/P/PT 4 (1995)6頁〔以下簡稱國家人權機構：手冊〕；伯德金與葛拉夫(B. Burdekin and A. Gallagher)，「聯合國與國家人權機構(The United Nations and National Human Rights Institutions)」收錄於阿爾弗雷德松(G. </w:t>
      </w:r>
      <w:proofErr w:type="spellStart"/>
      <w:r w:rsidRPr="00B916E6">
        <w:rPr>
          <w:rFonts w:hAnsi="標楷體" w:hint="eastAsia"/>
        </w:rPr>
        <w:t>Alfredsson</w:t>
      </w:r>
      <w:proofErr w:type="spellEnd"/>
      <w:r w:rsidRPr="00B916E6">
        <w:rPr>
          <w:rFonts w:hAnsi="標楷體" w:hint="eastAsia"/>
        </w:rPr>
        <w:t>)等人，合編，國際人權監督機制(International Human Rights Monitoring Mechanisms)(The Hague: Kluwer Law International, 2001)851頁。關於國際關係的觀點，參見卡德納斯(S. Cardenas)，「浮現的全球行動者：聯合國與國家人權機構(Emerging Global Actors: The United Nations and National Human Rights Institutions)」(2003)9 全球治理(Global Governance)7頁。</w:t>
      </w:r>
    </w:p>
  </w:footnote>
  <w:footnote w:id="5">
    <w:p w:rsidR="00032BDC" w:rsidRPr="00B916E6" w:rsidRDefault="00032BDC" w:rsidP="00A4605C">
      <w:pPr>
        <w:pStyle w:val="afd"/>
        <w:ind w:left="198" w:hanging="198"/>
        <w:jc w:val="both"/>
        <w:rPr>
          <w:rFonts w:hAnsi="標楷體"/>
        </w:rPr>
      </w:pPr>
      <w:r w:rsidRPr="00B916E6">
        <w:rPr>
          <w:rStyle w:val="aff"/>
          <w:rFonts w:hAnsi="標楷體"/>
        </w:rPr>
        <w:footnoteRef/>
      </w:r>
      <w:r w:rsidRPr="00B916E6">
        <w:rPr>
          <w:rFonts w:hAnsi="標楷體"/>
        </w:rPr>
        <w:t xml:space="preserve"> </w:t>
      </w:r>
      <w:r w:rsidRPr="00B916E6">
        <w:rPr>
          <w:rFonts w:hAnsi="標楷體" w:hint="eastAsia"/>
        </w:rPr>
        <w:t>「巴黎原則」（The Paris Principles）</w:t>
      </w:r>
      <w:r w:rsidRPr="00B916E6">
        <w:rPr>
          <w:rFonts w:hAnsi="標楷體" w:hint="eastAsia"/>
        </w:rPr>
        <w:t>，係指「關於促進和保護人權的國家機構的地位的原則」。此原則係聯合國人權委員會於西元1991年10月7日至9日在巴黎舉行的關於促進和保護人權的國家機構的第一次國際研討會所作出的結論。嗣經西元1992年3月3日聯合國人權委員會第1992/54號，及西元1993年12月20日聯合國大會第48/134號決議核可。此原則確認：應賦予該國家機構促進和保護人權的權限，及盡可能廣泛的授權，對這種授權在憲法和立法案文中應有明確規定。此原則除了強調該國家機構之組成和職權應以憲法或法律定之，應有廣泛授權與明確職責外，並強調獨立性原則、成員多元化、任期穩定和明確，及充足的經費等。權限與職責：1.應賦予國家機構促進和保護人權的權限。2.</w:t>
      </w:r>
      <w:r w:rsidRPr="00B916E6">
        <w:rPr>
          <w:rFonts w:hAnsi="標楷體" w:hint="eastAsia"/>
          <w:b/>
        </w:rPr>
        <w:t>應賦予國家機構盡可能廣泛的授權，對這種授權在憲法和立法案文中應有明確規定，並具體規定其組成和權限範圍</w:t>
      </w:r>
      <w:r w:rsidRPr="00B916E6">
        <w:rPr>
          <w:rFonts w:hAnsi="標楷體" w:hint="eastAsia"/>
        </w:rPr>
        <w:t>。3.國家機構除其它外，應具有以下職責：(a)</w:t>
      </w:r>
      <w:r w:rsidRPr="00B916E6">
        <w:rPr>
          <w:rFonts w:hAnsi="標楷體" w:hint="eastAsia"/>
          <w:b/>
        </w:rPr>
        <w:t>應有關當局的要求，或通過行使其在不需向上級請示逕行聽審案件的權利，就有關促進和保護人權的任何事項，向政府、議會和任何其它主管機構提出意見、建議、提議和報告；並可決定予以公布；這些意見、建議、提議和報告以及該國家機構的任何特權應與以下領域有關係：(1)目的在於維持和擴大保護人權的任何立法和行政規定以及有關司法組織的規定；為此，國家機構應審查現行的立法和行政規定，以及法案和提案，並提出它認為合適的建議，以確保這些規定符合人權的基本原則；必要時，它應建議通過新的立法，修正現行的立法以及通過或修正行政措施；(2)它決定處理的任何侵犯人權的情況；(3)就人權問題的一般國家情況和比較具體的事項編寫報告；(4)提請政府注意國內任何地區人權遭受侵犯的情況，建議政府主動採取結束這種情況的行動，並視情況需要對政府要採取的立場和作出的反應提出意見；</w:t>
      </w:r>
      <w:r w:rsidRPr="00B916E6">
        <w:rPr>
          <w:rFonts w:hAnsi="標楷體" w:hint="eastAsia"/>
        </w:rPr>
        <w:t>(b)促進並確保國家的立法規章和慣例與該國所加入的國際人權文書協調，及其有效執行；(c)鼓勵批准上述文書或加入這些文書並確保其執行； (d)對各國按照其各自條約義務要向聯合國機構和委員會以及向區域機構提交的報告作出貢獻，必要時，在對國家獨立性給予應有尊重的情況下，表示對問題的意見；(e)與聯合國和聯合國系統內的任何其他組織、各區域機構以及別國主管促進和保護人權領域工作的國家機構進行合作；(f)協助制定人權問題教學方案和研究方案，並參加這些方案在學校、大學和專業團體中的執行；(g)宣傳人權和反對各種形式的歧視，特別是種族歧視的工作，並透過宣傳和教育來提高公眾認識等。</w:t>
      </w:r>
    </w:p>
  </w:footnote>
  <w:footnote w:id="6">
    <w:p w:rsidR="00032BDC" w:rsidRPr="00B916E6" w:rsidRDefault="00032BDC" w:rsidP="004F298E">
      <w:pPr>
        <w:pStyle w:val="afd"/>
        <w:ind w:left="198" w:hanging="198"/>
        <w:rPr>
          <w:rFonts w:hAnsi="標楷體"/>
        </w:rPr>
      </w:pPr>
      <w:r w:rsidRPr="00B916E6">
        <w:rPr>
          <w:rStyle w:val="aff"/>
          <w:rFonts w:hAnsi="標楷體"/>
        </w:rPr>
        <w:footnoteRef/>
      </w:r>
      <w:r w:rsidRPr="00B916E6">
        <w:rPr>
          <w:rFonts w:hAnsi="標楷體" w:hint="eastAsia"/>
        </w:rPr>
        <w:t xml:space="preserve"> 在監察實務上係各委員會審查未提案糾正之調查報告、委託調查查復案件或討論其他議案時，如認為有送請有關機關注意或參考改善之必要者，得作成決議，送請有關機關辦理。</w:t>
      </w:r>
    </w:p>
  </w:footnote>
  <w:footnote w:id="7">
    <w:p w:rsidR="00032BDC" w:rsidRPr="00B916E6" w:rsidRDefault="00032BDC" w:rsidP="004F298E">
      <w:pPr>
        <w:pStyle w:val="afd"/>
        <w:ind w:left="198" w:hanging="198"/>
        <w:rPr>
          <w:rFonts w:hAnsi="標楷體"/>
        </w:rPr>
      </w:pPr>
      <w:r w:rsidRPr="00B916E6">
        <w:rPr>
          <w:rStyle w:val="aff"/>
          <w:rFonts w:hAnsi="標楷體"/>
        </w:rPr>
        <w:footnoteRef/>
      </w:r>
      <w:r w:rsidRPr="00B916E6">
        <w:rPr>
          <w:rFonts w:hAnsi="標楷體" w:hint="eastAsia"/>
        </w:rPr>
        <w:t xml:space="preserve"> 憲法解釋，</w:t>
      </w:r>
      <w:r w:rsidRPr="00B916E6">
        <w:rPr>
          <w:rFonts w:hAnsi="標楷體"/>
        </w:rPr>
        <w:t xml:space="preserve">Christian </w:t>
      </w:r>
      <w:proofErr w:type="spellStart"/>
      <w:r w:rsidRPr="00B916E6">
        <w:rPr>
          <w:rFonts w:hAnsi="標楷體"/>
        </w:rPr>
        <w:t>Starck</w:t>
      </w:r>
      <w:proofErr w:type="spellEnd"/>
      <w:r w:rsidRPr="00B916E6">
        <w:rPr>
          <w:rFonts w:hAnsi="標楷體" w:hint="eastAsia"/>
        </w:rPr>
        <w:t>著，李建良譯，臺大法學論叢第26卷第4期（西元1997年7月），頁6-10。</w:t>
      </w:r>
    </w:p>
  </w:footnote>
  <w:footnote w:id="8">
    <w:p w:rsidR="00032BDC" w:rsidRPr="00B916E6" w:rsidRDefault="00032BDC" w:rsidP="004F298E">
      <w:pPr>
        <w:pStyle w:val="afd"/>
        <w:ind w:left="198" w:hanging="198"/>
        <w:rPr>
          <w:rFonts w:hAnsi="標楷體"/>
        </w:rPr>
      </w:pPr>
      <w:r w:rsidRPr="00B916E6">
        <w:rPr>
          <w:rStyle w:val="aff"/>
          <w:rFonts w:hAnsi="標楷體"/>
        </w:rPr>
        <w:footnoteRef/>
      </w:r>
      <w:r w:rsidRPr="00B916E6">
        <w:rPr>
          <w:rFonts w:hAnsi="標楷體"/>
        </w:rPr>
        <w:t xml:space="preserve"> </w:t>
      </w:r>
      <w:r w:rsidRPr="00B916E6">
        <w:rPr>
          <w:rFonts w:hAnsi="標楷體" w:hint="eastAsia"/>
        </w:rPr>
        <w:t>例如</w:t>
      </w:r>
      <w:r w:rsidR="00382231" w:rsidRPr="00B916E6">
        <w:rPr>
          <w:rFonts w:hAnsi="標楷體" w:hint="eastAsia"/>
        </w:rPr>
        <w:t>司法院釋字第743</w:t>
      </w:r>
      <w:r w:rsidR="00382231" w:rsidRPr="00B916E6">
        <w:rPr>
          <w:rFonts w:hAnsi="標楷體" w:hint="eastAsia"/>
        </w:rPr>
        <w:t>號解釋</w:t>
      </w:r>
      <w:r w:rsidR="00F3523A" w:rsidRPr="00B916E6">
        <w:rPr>
          <w:rFonts w:hAnsi="標楷體" w:hint="eastAsia"/>
        </w:rPr>
        <w:t>。</w:t>
      </w:r>
    </w:p>
  </w:footnote>
  <w:footnote w:id="9">
    <w:p w:rsidR="00032BDC" w:rsidRPr="00B916E6" w:rsidRDefault="00032BDC" w:rsidP="004F298E">
      <w:pPr>
        <w:pStyle w:val="afd"/>
        <w:ind w:left="198" w:hanging="198"/>
        <w:rPr>
          <w:rFonts w:hAnsi="標楷體"/>
        </w:rPr>
      </w:pPr>
      <w:r w:rsidRPr="00B916E6">
        <w:rPr>
          <w:rStyle w:val="aff"/>
          <w:rFonts w:hAnsi="標楷體"/>
        </w:rPr>
        <w:footnoteRef/>
      </w:r>
      <w:r w:rsidRPr="00B916E6">
        <w:rPr>
          <w:rFonts w:hAnsi="標楷體"/>
        </w:rPr>
        <w:t xml:space="preserve"> </w:t>
      </w:r>
      <w:r w:rsidRPr="00B916E6">
        <w:rPr>
          <w:rFonts w:hAnsi="標楷體" w:hint="eastAsia"/>
        </w:rPr>
        <w:t>指319槍擊案行政院所稱抵抗權，並非實際意義的抵抗權。</w:t>
      </w:r>
    </w:p>
  </w:footnote>
  <w:footnote w:id="10">
    <w:p w:rsidR="00032BDC" w:rsidRPr="00B916E6" w:rsidRDefault="00032BDC" w:rsidP="004F298E">
      <w:pPr>
        <w:pStyle w:val="afd"/>
        <w:ind w:left="198" w:hanging="198"/>
        <w:rPr>
          <w:rFonts w:hAnsi="標楷體"/>
        </w:rPr>
      </w:pPr>
      <w:r w:rsidRPr="00B916E6">
        <w:rPr>
          <w:rStyle w:val="aff"/>
          <w:rFonts w:hAnsi="標楷體"/>
        </w:rPr>
        <w:footnoteRef/>
      </w:r>
      <w:r w:rsidRPr="00B916E6">
        <w:rPr>
          <w:rFonts w:hAnsi="標楷體"/>
        </w:rPr>
        <w:t xml:space="preserve"> </w:t>
      </w:r>
      <w:r w:rsidR="00D03230" w:rsidRPr="00B916E6">
        <w:rPr>
          <w:rFonts w:hAnsi="標楷體" w:hint="eastAsia"/>
        </w:rPr>
        <w:t>參見</w:t>
      </w:r>
      <w:r w:rsidRPr="00B916E6">
        <w:rPr>
          <w:rFonts w:hAnsi="標楷體" w:hint="eastAsia"/>
        </w:rPr>
        <w:t>司法院釋字530</w:t>
      </w:r>
      <w:r w:rsidRPr="00B916E6">
        <w:rPr>
          <w:rFonts w:hAnsi="標楷體" w:hint="eastAsia"/>
        </w:rPr>
        <w:t>號解釋。</w:t>
      </w:r>
    </w:p>
  </w:footnote>
  <w:footnote w:id="11">
    <w:p w:rsidR="00032BDC" w:rsidRPr="00B916E6" w:rsidRDefault="00032BDC" w:rsidP="004F298E">
      <w:pPr>
        <w:pStyle w:val="afd"/>
        <w:ind w:left="198" w:hanging="198"/>
        <w:rPr>
          <w:rFonts w:hAnsi="標楷體"/>
        </w:rPr>
      </w:pPr>
      <w:r w:rsidRPr="00B916E6">
        <w:rPr>
          <w:rStyle w:val="aff"/>
          <w:rFonts w:hAnsi="標楷體"/>
        </w:rPr>
        <w:footnoteRef/>
      </w:r>
      <w:r w:rsidRPr="00B916E6">
        <w:rPr>
          <w:rFonts w:hAnsi="標楷體"/>
        </w:rPr>
        <w:t xml:space="preserve"> </w:t>
      </w:r>
      <w:r w:rsidRPr="00B916E6">
        <w:rPr>
          <w:rFonts w:hAnsi="標楷體" w:hint="eastAsia"/>
        </w:rPr>
        <w:t>由此可知憲政慣例之拘束力，具有機關禁反言之效果，特別在程序事項。</w:t>
      </w:r>
    </w:p>
  </w:footnote>
  <w:footnote w:id="12">
    <w:p w:rsidR="00032BDC" w:rsidRPr="00B916E6" w:rsidRDefault="00032BDC" w:rsidP="00D0346F">
      <w:pPr>
        <w:pStyle w:val="afd"/>
        <w:ind w:left="264" w:hangingChars="120" w:hanging="264"/>
        <w:rPr>
          <w:rFonts w:hAnsi="標楷體"/>
        </w:rPr>
      </w:pPr>
      <w:r w:rsidRPr="00B916E6">
        <w:rPr>
          <w:rStyle w:val="aff"/>
          <w:rFonts w:hAnsi="標楷體"/>
        </w:rPr>
        <w:footnoteRef/>
      </w:r>
      <w:r w:rsidRPr="00B916E6">
        <w:rPr>
          <w:rFonts w:hAnsi="標楷體" w:hint="eastAsia"/>
        </w:rPr>
        <w:t xml:space="preserve"> </w:t>
      </w:r>
      <w:r w:rsidRPr="00B916E6">
        <w:rPr>
          <w:rFonts w:hAnsi="標楷體" w:hint="eastAsia"/>
        </w:rPr>
        <w:t>關於功能最適理論之說明，詳見陳愛娥，〈大法官憲法解釋權之界線—由功能法的觀點出法〉，《憲政時代》第42卷第3期，頁170-222。</w:t>
      </w:r>
    </w:p>
  </w:footnote>
  <w:footnote w:id="13">
    <w:p w:rsidR="00032BDC" w:rsidRPr="00B916E6" w:rsidRDefault="00032BDC" w:rsidP="00D03230">
      <w:pPr>
        <w:pStyle w:val="afd"/>
        <w:ind w:left="198" w:hanging="198"/>
        <w:jc w:val="both"/>
        <w:rPr>
          <w:rFonts w:hAnsi="標楷體"/>
        </w:rPr>
      </w:pPr>
      <w:r w:rsidRPr="00B916E6">
        <w:rPr>
          <w:rStyle w:val="aff"/>
          <w:rFonts w:hAnsi="標楷體"/>
        </w:rPr>
        <w:footnoteRef/>
      </w:r>
      <w:r w:rsidRPr="00B916E6">
        <w:rPr>
          <w:rFonts w:hAnsi="標楷體" w:hint="eastAsia"/>
        </w:rPr>
        <w:t xml:space="preserve"> 即立法機關所為之法律解釋，又可分為法規解釋與職權解釋兩種，茲分述如次：（</w:t>
      </w:r>
      <w:r w:rsidRPr="00B916E6">
        <w:rPr>
          <w:rFonts w:hAnsi="標楷體"/>
        </w:rPr>
        <w:t>1</w:t>
      </w:r>
      <w:r w:rsidRPr="00B916E6">
        <w:rPr>
          <w:rFonts w:hAnsi="標楷體" w:hint="eastAsia"/>
        </w:rPr>
        <w:t>）</w:t>
      </w:r>
      <w:r w:rsidRPr="00B916E6">
        <w:rPr>
          <w:rFonts w:hAnsi="標楷體" w:hint="eastAsia"/>
        </w:rPr>
        <w:t>法規解釋</w:t>
      </w:r>
      <w:r w:rsidRPr="00B916E6">
        <w:rPr>
          <w:rFonts w:hAnsi="標楷體"/>
        </w:rPr>
        <w:t>-</w:t>
      </w:r>
      <w:r w:rsidRPr="00B916E6">
        <w:rPr>
          <w:rFonts w:hAnsi="標楷體" w:hint="eastAsia"/>
        </w:rPr>
        <w:t>乃立法機關於立法時，所為之立法理由。（</w:t>
      </w:r>
      <w:r w:rsidRPr="00B916E6">
        <w:rPr>
          <w:rFonts w:hAnsi="標楷體"/>
        </w:rPr>
        <w:t>2</w:t>
      </w:r>
      <w:r w:rsidRPr="00B916E6">
        <w:rPr>
          <w:rFonts w:hAnsi="標楷體" w:hint="eastAsia"/>
        </w:rPr>
        <w:t>）職權解釋</w:t>
      </w:r>
      <w:r w:rsidRPr="00B916E6">
        <w:rPr>
          <w:rFonts w:hAnsi="標楷體"/>
        </w:rPr>
        <w:t>-</w:t>
      </w:r>
      <w:r w:rsidRPr="00B916E6">
        <w:rPr>
          <w:rFonts w:hAnsi="標楷體" w:hint="eastAsia"/>
        </w:rPr>
        <w:t>因立法機關非執法機關，當無法律適用可言，既無適用，何來解釋。</w:t>
      </w:r>
    </w:p>
  </w:footnote>
  <w:footnote w:id="14">
    <w:p w:rsidR="00032BDC" w:rsidRPr="00B916E6" w:rsidRDefault="00032BDC" w:rsidP="00D03230">
      <w:pPr>
        <w:pStyle w:val="afd"/>
        <w:ind w:left="198" w:hanging="198"/>
        <w:jc w:val="both"/>
        <w:rPr>
          <w:rFonts w:hAnsi="標楷體"/>
        </w:rPr>
      </w:pPr>
      <w:r w:rsidRPr="00B916E6">
        <w:rPr>
          <w:rStyle w:val="aff"/>
          <w:rFonts w:hAnsi="標楷體"/>
        </w:rPr>
        <w:footnoteRef/>
      </w:r>
      <w:r w:rsidRPr="00B916E6">
        <w:rPr>
          <w:rFonts w:hAnsi="標楷體" w:hint="eastAsia"/>
        </w:rPr>
        <w:t xml:space="preserve"> 乃行政機關執行法令時，所為關於本機關對於法令的見解及上級機關就法令涵義所為之解釋。通常，此種行政解釋只在上級機關及其所轄下級機關發生拘束力。一般而言，行政機關解釋法令的範圍，僅以行政機關的職權範圍內所發布的行政法令為限。即下級行政機關對於本身所發布的行政命令有解釋權，但不得違反上級行政機關的行政命令，否則上級行政機關對於下級機關所為之解釋得予以變更或撤銷。此外，行政機關於其行使職權，適用憲法發生疑義，或就其職權上適用法律或命令所持見解，與他機關適用同一法律或命令時所已表示之見解有異者，得交由司法院解釋（《司法院大法官審理案件法》第</w:t>
      </w:r>
      <w:r w:rsidRPr="00B916E6">
        <w:rPr>
          <w:rFonts w:hAnsi="標楷體"/>
        </w:rPr>
        <w:t>5</w:t>
      </w:r>
      <w:r w:rsidRPr="00B916E6">
        <w:rPr>
          <w:rFonts w:hAnsi="標楷體" w:hint="eastAsia"/>
        </w:rPr>
        <w:t>條第</w:t>
      </w:r>
      <w:r w:rsidRPr="00B916E6">
        <w:rPr>
          <w:rFonts w:hAnsi="標楷體"/>
        </w:rPr>
        <w:t>1</w:t>
      </w:r>
      <w:r w:rsidRPr="00B916E6">
        <w:rPr>
          <w:rFonts w:hAnsi="標楷體" w:hint="eastAsia"/>
        </w:rPr>
        <w:t>項第</w:t>
      </w:r>
      <w:r w:rsidRPr="00B916E6">
        <w:rPr>
          <w:rFonts w:hAnsi="標楷體"/>
        </w:rPr>
        <w:t>1</w:t>
      </w:r>
      <w:r w:rsidRPr="00B916E6">
        <w:rPr>
          <w:rFonts w:hAnsi="標楷體" w:hint="eastAsia"/>
        </w:rPr>
        <w:t>款、第</w:t>
      </w:r>
      <w:r w:rsidRPr="00B916E6">
        <w:rPr>
          <w:rFonts w:hAnsi="標楷體"/>
        </w:rPr>
        <w:t>7</w:t>
      </w:r>
      <w:r w:rsidRPr="00B916E6">
        <w:rPr>
          <w:rFonts w:hAnsi="標楷體" w:hint="eastAsia"/>
        </w:rPr>
        <w:t>條第</w:t>
      </w:r>
      <w:r w:rsidRPr="00B916E6">
        <w:rPr>
          <w:rFonts w:hAnsi="標楷體"/>
        </w:rPr>
        <w:t>1</w:t>
      </w:r>
      <w:r w:rsidRPr="00B916E6">
        <w:rPr>
          <w:rFonts w:hAnsi="標楷體" w:hint="eastAsia"/>
        </w:rPr>
        <w:t>項第</w:t>
      </w:r>
      <w:r w:rsidRPr="00B916E6">
        <w:rPr>
          <w:rFonts w:hAnsi="標楷體"/>
        </w:rPr>
        <w:t>1</w:t>
      </w:r>
      <w:r w:rsidRPr="00B916E6">
        <w:rPr>
          <w:rFonts w:hAnsi="標楷體" w:hint="eastAsia"/>
        </w:rPr>
        <w:t>款）。</w:t>
      </w:r>
    </w:p>
  </w:footnote>
  <w:footnote w:id="15">
    <w:p w:rsidR="00032BDC" w:rsidRPr="00B916E6" w:rsidRDefault="00032BDC" w:rsidP="00D03230">
      <w:pPr>
        <w:pStyle w:val="afd"/>
        <w:ind w:left="198" w:hanging="198"/>
        <w:jc w:val="both"/>
        <w:rPr>
          <w:rFonts w:hAnsi="標楷體"/>
        </w:rPr>
      </w:pPr>
      <w:r w:rsidRPr="00B916E6">
        <w:rPr>
          <w:rStyle w:val="aff"/>
          <w:rFonts w:hAnsi="標楷體"/>
        </w:rPr>
        <w:footnoteRef/>
      </w:r>
      <w:r w:rsidRPr="00B916E6">
        <w:rPr>
          <w:rFonts w:hAnsi="標楷體" w:hint="eastAsia"/>
        </w:rPr>
        <w:t xml:space="preserve"> 司法機關對於法律所為之解釋。依我國法律規定，司法解釋又可分為憲法解釋與審判解釋兩種。（</w:t>
      </w:r>
      <w:r w:rsidRPr="00B916E6">
        <w:rPr>
          <w:rFonts w:hAnsi="標楷體"/>
        </w:rPr>
        <w:t>1</w:t>
      </w:r>
      <w:r w:rsidRPr="00B916E6">
        <w:rPr>
          <w:rFonts w:hAnsi="標楷體" w:hint="eastAsia"/>
        </w:rPr>
        <w:t>）</w:t>
      </w:r>
      <w:r w:rsidRPr="00B916E6">
        <w:rPr>
          <w:rFonts w:hAnsi="標楷體" w:hint="eastAsia"/>
        </w:rPr>
        <w:t>憲法解釋</w:t>
      </w:r>
      <w:r w:rsidRPr="00B916E6">
        <w:rPr>
          <w:rFonts w:hAnsi="標楷體"/>
        </w:rPr>
        <w:t>-</w:t>
      </w:r>
      <w:r w:rsidRPr="00B916E6">
        <w:rPr>
          <w:rFonts w:hAnsi="標楷體" w:hint="eastAsia"/>
        </w:rPr>
        <w:t>人民或政府機關，對於法律條文有疑義時，得向司法機關聲請解釋。（</w:t>
      </w:r>
      <w:r w:rsidRPr="00B916E6">
        <w:rPr>
          <w:rFonts w:hAnsi="標楷體"/>
        </w:rPr>
        <w:t>2</w:t>
      </w:r>
      <w:r w:rsidRPr="00B916E6">
        <w:rPr>
          <w:rFonts w:hAnsi="標楷體" w:hint="eastAsia"/>
        </w:rPr>
        <w:t>）審判解釋</w:t>
      </w:r>
      <w:r w:rsidRPr="00B916E6">
        <w:rPr>
          <w:rFonts w:hAnsi="標楷體"/>
        </w:rPr>
        <w:t>-</w:t>
      </w:r>
      <w:r w:rsidRPr="00B916E6">
        <w:rPr>
          <w:rFonts w:hAnsi="標楷體" w:hint="eastAsia"/>
        </w:rPr>
        <w:t>乃法官就訴訟案件適用法律時，所為之法律解釋。此種解釋並可形成判例，且最高法院的判例有拘束下級法院之效力。一般而言，法官於具體個案適用法律時，當然有解釋法律的權限，但只對於訴訟當事人具有拘束力，對於其他法院及一般人民在法律上並無拘束力。但上級法院所為的判決拘束下級的法院，即下級法院所為的判決，經上級法院撤銷時，上級法院就其適用同一法律所為的解釋，對於下級法院具有拘束力。最高法院所為的解釋或判例，對於下級法院方有拘束力，同時也拘束一般行政機關與人民。</w:t>
      </w:r>
    </w:p>
  </w:footnote>
  <w:footnote w:id="16">
    <w:p w:rsidR="00032BDC" w:rsidRPr="00B916E6" w:rsidRDefault="00032BDC" w:rsidP="004F298E">
      <w:pPr>
        <w:pStyle w:val="afd"/>
        <w:ind w:left="198" w:hanging="198"/>
        <w:rPr>
          <w:rFonts w:hAnsi="標楷體"/>
        </w:rPr>
      </w:pPr>
      <w:r w:rsidRPr="00B916E6">
        <w:rPr>
          <w:rStyle w:val="aff"/>
          <w:rFonts w:hAnsi="標楷體"/>
        </w:rPr>
        <w:footnoteRef/>
      </w:r>
      <w:r w:rsidRPr="00B916E6">
        <w:rPr>
          <w:rFonts w:hAnsi="標楷體" w:hint="eastAsia"/>
        </w:rPr>
        <w:t xml:space="preserve"> 李建良，監察院對行政裁量的審查及其界限，監察調查理論與實務策進之研究，97</w:t>
      </w:r>
      <w:r w:rsidRPr="00B916E6">
        <w:rPr>
          <w:rFonts w:hAnsi="標楷體" w:hint="eastAsia"/>
        </w:rPr>
        <w:t>年監察院編印，頁150-154</w:t>
      </w:r>
    </w:p>
    <w:p w:rsidR="00032BDC" w:rsidRPr="00B916E6" w:rsidRDefault="00032BDC" w:rsidP="004F298E">
      <w:pPr>
        <w:pStyle w:val="afd"/>
        <w:ind w:left="198" w:hanging="198"/>
        <w:rPr>
          <w:rFonts w:hAnsi="標楷體"/>
        </w:rPr>
      </w:pPr>
    </w:p>
  </w:footnote>
  <w:footnote w:id="17">
    <w:p w:rsidR="00032BDC" w:rsidRPr="00B916E6" w:rsidRDefault="00032BDC" w:rsidP="00D03230">
      <w:pPr>
        <w:pStyle w:val="afd"/>
        <w:ind w:left="264" w:hangingChars="120" w:hanging="264"/>
        <w:jc w:val="both"/>
        <w:rPr>
          <w:rFonts w:hAnsi="標楷體"/>
        </w:rPr>
      </w:pPr>
      <w:r w:rsidRPr="00B916E6">
        <w:rPr>
          <w:rStyle w:val="aff"/>
          <w:rFonts w:hAnsi="標楷體"/>
        </w:rPr>
        <w:footnoteRef/>
      </w:r>
      <w:r w:rsidRPr="00B916E6">
        <w:rPr>
          <w:rFonts w:hAnsi="標楷體" w:hint="eastAsia"/>
        </w:rPr>
        <w:t xml:space="preserve"> </w:t>
      </w:r>
      <w:r w:rsidRPr="00B916E6">
        <w:rPr>
          <w:rFonts w:hAnsi="標楷體" w:hint="eastAsia"/>
        </w:rPr>
        <w:t>李建良教授所稱「監察院若能扮演制衡的角色，發揮牽掣權力的功能，則台灣民主憲政的賡續成長，或許還有一絲絲的希望，而監察院的存在也才能取得一點點的正當性。」等語之實踐，</w:t>
      </w:r>
      <w:r w:rsidRPr="00B916E6">
        <w:rPr>
          <w:rFonts w:hAnsi="標楷體" w:hint="eastAsia"/>
          <w:b/>
        </w:rPr>
        <w:t>正如法國哲學家米歇爾·傅柯（</w:t>
      </w:r>
      <w:r w:rsidRPr="00B916E6">
        <w:rPr>
          <w:rFonts w:hAnsi="標楷體"/>
          <w:b/>
        </w:rPr>
        <w:t>Michel Foucault</w:t>
      </w:r>
      <w:r w:rsidRPr="00B916E6">
        <w:rPr>
          <w:rFonts w:hAnsi="標楷體" w:hint="eastAsia"/>
          <w:b/>
        </w:rPr>
        <w:t>）西元</w:t>
      </w:r>
      <w:r w:rsidRPr="00B916E6">
        <w:rPr>
          <w:rFonts w:hAnsi="標楷體"/>
          <w:b/>
        </w:rPr>
        <w:t>1984</w:t>
      </w:r>
      <w:r w:rsidRPr="00B916E6">
        <w:rPr>
          <w:rFonts w:hAnsi="標楷體" w:hint="eastAsia"/>
          <w:b/>
        </w:rPr>
        <w:t>年在法蘭西公學院（</w:t>
      </w:r>
      <w:proofErr w:type="spellStart"/>
      <w:r w:rsidRPr="00B916E6">
        <w:rPr>
          <w:rFonts w:hAnsi="標楷體"/>
          <w:b/>
        </w:rPr>
        <w:t>Collège</w:t>
      </w:r>
      <w:proofErr w:type="spellEnd"/>
      <w:r w:rsidRPr="00B916E6">
        <w:rPr>
          <w:rFonts w:hAnsi="標楷體"/>
          <w:b/>
        </w:rPr>
        <w:t xml:space="preserve"> de France</w:t>
      </w:r>
      <w:r w:rsidRPr="00B916E6">
        <w:rPr>
          <w:rFonts w:hAnsi="標楷體" w:hint="eastAsia"/>
          <w:b/>
        </w:rPr>
        <w:t>）於其生命終結前之最後課程「對自己與他人的治理：說真話的勇氣」之分析，從古希臘時期蘇格拉底之死亡，探討民主與倫理的不同，當時以貝殼法放逐法（</w:t>
      </w:r>
      <w:proofErr w:type="spellStart"/>
      <w:r w:rsidRPr="00B916E6">
        <w:rPr>
          <w:rFonts w:ascii="Times New Roman"/>
          <w:b/>
        </w:rPr>
        <w:t>ὄ</w:t>
      </w:r>
      <w:r w:rsidRPr="00B916E6">
        <w:rPr>
          <w:rFonts w:hAnsi="標楷體"/>
          <w:b/>
        </w:rPr>
        <w:t>στρ</w:t>
      </w:r>
      <w:proofErr w:type="spellEnd"/>
      <w:r w:rsidRPr="00B916E6">
        <w:rPr>
          <w:rFonts w:hAnsi="標楷體"/>
          <w:b/>
        </w:rPr>
        <w:t>ακον</w:t>
      </w:r>
      <w:r w:rsidRPr="00B916E6">
        <w:rPr>
          <w:rFonts w:hAnsi="標楷體" w:hint="eastAsia"/>
          <w:b/>
        </w:rPr>
        <w:t>；</w:t>
      </w:r>
      <w:r w:rsidRPr="00B916E6">
        <w:rPr>
          <w:rFonts w:hAnsi="標楷體"/>
          <w:b/>
        </w:rPr>
        <w:t>Ostracism</w:t>
      </w:r>
      <w:r w:rsidRPr="00B916E6">
        <w:rPr>
          <w:rFonts w:hAnsi="標楷體" w:hint="eastAsia"/>
          <w:b/>
        </w:rPr>
        <w:t>）</w:t>
      </w:r>
      <w:r w:rsidRPr="00B916E6">
        <w:rPr>
          <w:rFonts w:hAnsi="標楷體"/>
          <w:b/>
        </w:rPr>
        <w:t>-</w:t>
      </w:r>
      <w:r w:rsidRPr="00B916E6">
        <w:rPr>
          <w:rFonts w:hAnsi="標楷體" w:hint="eastAsia"/>
          <w:b/>
        </w:rPr>
        <w:t>透過公民投票過程流放異議或不受歡迎人士，造成民主自滅，換言之，民主固然建立在平等原則下，但社會之倫理價值卻有高低之區分。德國哲學家康德進而認為一個國家的成文憲法之所以具有「至高無上性」，其前提必須建立於「法律存在的目的不是為管理國家，而是為人民長久的福祉」，故其稱「沒有民主的法治是虛空，無法治的民主是盲目」（Law Without Democracy is empty, Democracy Without Law is blind.）。對於康德而言，憲政的主要問題即為「一個國家的憲法最終建立在其公民的道德上，而公民的道德則反過來又取決於這個憲法的好壞」。理性必須作為國家存立之標準，所以法治國原則是「理性思維」所架構國家思想，目的在於排除任何恣意與專斷侵害基本權利之國家行為。國家必須按照憲法與法律之規定運作，亦即國家必須受到「『理性』法律制度」所控制，是則，監察院作為憲法最高監察機關，若無時時刻刻念茲在茲，以「維護人性尊嚴，保障憲法核心價值」為使命，任意屈從其他憲政機關之違法濫權，必將喪失其存立基礎。</w:t>
      </w:r>
    </w:p>
  </w:footnote>
  <w:footnote w:id="18">
    <w:p w:rsidR="00032BDC" w:rsidRPr="00B916E6" w:rsidRDefault="00032BDC" w:rsidP="00D03230">
      <w:pPr>
        <w:pStyle w:val="afd"/>
        <w:ind w:left="198" w:hanging="198"/>
        <w:jc w:val="both"/>
        <w:rPr>
          <w:rFonts w:hAnsi="標楷體"/>
          <w:b/>
        </w:rPr>
      </w:pPr>
      <w:r w:rsidRPr="00B916E6">
        <w:rPr>
          <w:rStyle w:val="aff"/>
          <w:rFonts w:hAnsi="標楷體"/>
        </w:rPr>
        <w:footnoteRef/>
      </w:r>
      <w:r w:rsidRPr="00B916E6">
        <w:rPr>
          <w:rFonts w:hAnsi="標楷體" w:hint="eastAsia"/>
          <w:b/>
        </w:rPr>
        <w:t xml:space="preserve"> 監察院議案關係文書檢附調查報告本件並未糾正，行政院就本案從未質疑不能適用調查權聲請釋憲，亦從未質疑何以適用都市計畫法相關法令，司法院大法官亦未質疑為何沒有糾正，就聲請釋憲。</w:t>
      </w:r>
    </w:p>
    <w:p w:rsidR="00032BDC" w:rsidRPr="00B916E6" w:rsidRDefault="00032BDC" w:rsidP="00D03230">
      <w:pPr>
        <w:pStyle w:val="afd"/>
        <w:ind w:left="198" w:hanging="198"/>
        <w:jc w:val="both"/>
        <w:rPr>
          <w:rFonts w:hAnsi="標楷體"/>
        </w:rPr>
      </w:pPr>
      <w:r w:rsidRPr="00B916E6">
        <w:rPr>
          <w:rFonts w:hAnsi="標楷體" w:hint="eastAsia"/>
        </w:rPr>
        <w:t xml:space="preserve">  案由：有關都市計畫區內之非公共設施用地，行政院未經都市計畫變更程序，逕予辦理徵收；本院認為原非都市計畫公共設施用地，未經都市計畫變更程序逕予徵收，與都市計畫之使用分區規定不合，明顯違反都市計畫法第五十二條規定；及徵收公告未滿三十日違反土地法第二百二十七條規定，其徵收已然失其效力。惟行政院引用行政法院判決，以法律並無規定不得徵收，且係台灣省政府之行政措施，配合辦理，於法並無不合云云。因本院與行政院之見解不同而影響人民財產權益甚鉅，有適法上之疑義，爰聲請大法官作統一解釋。說</w:t>
      </w:r>
      <w:r w:rsidRPr="00B916E6">
        <w:rPr>
          <w:rFonts w:hAnsi="標楷體"/>
        </w:rPr>
        <w:t xml:space="preserve"> </w:t>
      </w:r>
      <w:r w:rsidRPr="00B916E6">
        <w:rPr>
          <w:rFonts w:hAnsi="標楷體" w:hint="eastAsia"/>
        </w:rPr>
        <w:t>明：壹、聲請統一解釋之目的</w:t>
      </w:r>
      <w:r w:rsidRPr="00B916E6">
        <w:rPr>
          <w:rFonts w:hAnsi="標楷體"/>
        </w:rPr>
        <w:t xml:space="preserve"> </w:t>
      </w:r>
      <w:r w:rsidRPr="00B916E6">
        <w:rPr>
          <w:rFonts w:hAnsi="標楷體" w:hint="eastAsia"/>
        </w:rPr>
        <w:t>依土地法第二百零八條：「國家因左列公共事業之需要，得依本法之規定徵收私有土地。但徵收之範圍，應以事業所必需者為限：一、國防設備。二、交通事業。三、公用事業。四、水利事業。五、公共衛生。六、政府機關、地方自治機關及其他公共建築。七、教育學術及慈善事業。八、國營事業。九、其他由政府興辦以公共利益為目的之事業。」復依都市計畫法第五十二條：「都市計畫範圍內，各級政府徵收私有土地或撥用公有土地，不得妨礙當地都市計畫。」等規定，在都市計畫法範圍內各級政府徵收私有土地，必以都市計畫法所定之公共設施用地為限，俾免徵收後違反當地之都市計畫，以保障人民之財產權益。經查本案陳訴人陳０本等所有地係林口特定區範圍內之農業區土地，並非公共設施用地，行政院將原都市計畫範圍內之公園用地不予徵收，竟核准徵收陳訴人所有非公共設施用地之農業區土地，雖經本院認為與都市計畫法第五十二條有違，行政院仍認為該法並未規定不得徵收，致生法律解釋上之疑義，為保障人民之財產權，爰聲請解釋。貳、法律見解發生歧異之經過及涉及之法律條文：</w:t>
      </w:r>
      <w:r w:rsidRPr="00B916E6">
        <w:rPr>
          <w:rFonts w:ascii="MS Mincho" w:eastAsia="MS Mincho" w:hAnsi="MS Mincho" w:cs="MS Mincho" w:hint="eastAsia"/>
        </w:rPr>
        <w:t>㈠</w:t>
      </w:r>
      <w:r w:rsidRPr="00B916E6">
        <w:rPr>
          <w:rFonts w:hAnsi="標楷體" w:cs="標楷體" w:hint="eastAsia"/>
        </w:rPr>
        <w:t>林口特定區計畫係政府開發台北都會區邊緣新市鎮之都市計畫，由台灣省政府公共工程局於民國五十八年十一月研究完成，報奉內政部審議，經該部都市計畫委員會於民國五十九年十一月十一日第一一三次會議通過，並經桃園縣政府</w:t>
      </w:r>
      <w:r w:rsidRPr="00B916E6">
        <w:rPr>
          <w:rFonts w:hAnsi="標楷體" w:hint="eastAsia"/>
        </w:rPr>
        <w:t>於五十九年十一月三十日桃府建工字第一０三五０三號函公告實施，陳訴人所有土地－牛角坡段嶺頭小段五十一地號等十九筆土地，劃為農業區，不屬中正運動公園之範圍。</w:t>
      </w:r>
      <w:r w:rsidRPr="00B916E6">
        <w:rPr>
          <w:rFonts w:ascii="MS Mincho" w:eastAsia="MS Mincho" w:hAnsi="MS Mincho" w:cs="MS Mincho" w:hint="eastAsia"/>
        </w:rPr>
        <w:t>㈡</w:t>
      </w:r>
      <w:r w:rsidRPr="00B916E6">
        <w:rPr>
          <w:rFonts w:hAnsi="標楷體" w:cs="標楷體" w:hint="eastAsia"/>
        </w:rPr>
        <w:t>陳訴人所有前開桃園縣００鄉０００段０００段０００地號等土地，係屬林口特定區計畫內之農業區土地，教育部報請徵收中正運動公園，於六十五年七月十五日以台教字第一八二一七號逕列為中正運動公園被徵收土地，函請內政部轉報行政院核定，並經行政院於六十五年十月十八日台內地字第七０五五五四號函核准徵收，轉由桃園縣政府六十六年七月十三日府地用字第七０九四一號函公告徵收，公告期</w:t>
      </w:r>
      <w:r w:rsidRPr="00B916E6">
        <w:rPr>
          <w:rFonts w:hAnsi="標楷體" w:hint="eastAsia"/>
        </w:rPr>
        <w:t>間自六十六年七月十一日至六十六年八月十日，並於函中敘明，土地所有權人如有異議，應於上開公告期間內，檢具證件，以書面向該府提出，逾期不予受理。惟其公告期間之始日，在公告文發文日期之前，足證其公告未滿三十日，違反土地法第二百二十七條規定。</w:t>
      </w:r>
      <w:r w:rsidRPr="00B916E6">
        <w:rPr>
          <w:rFonts w:ascii="MS Mincho" w:eastAsia="MS Mincho" w:hAnsi="MS Mincho" w:cs="MS Mincho" w:hint="eastAsia"/>
        </w:rPr>
        <w:t>㈢</w:t>
      </w:r>
      <w:r w:rsidRPr="00B916E6">
        <w:rPr>
          <w:rFonts w:hAnsi="標楷體" w:cs="標楷體" w:hint="eastAsia"/>
        </w:rPr>
        <w:t>上開徵收通知，據桃園縣政府承辦人員表示，均已如期通知所有被徵收土地所有權人；惟據陳訴人表示，並未獲接該徵收通知，經請桃園縣政府提出其通知之證明，迄今仍無法提出。是否系爭土地屬農業區，非屬公共設施用地不在其徵收範圍，致未辦理通知，則有待瞭解。</w:t>
      </w:r>
      <w:r w:rsidRPr="00B916E6">
        <w:rPr>
          <w:rFonts w:ascii="MS Mincho" w:eastAsia="MS Mincho" w:hAnsi="MS Mincho" w:cs="MS Mincho" w:hint="eastAsia"/>
        </w:rPr>
        <w:t>㈣</w:t>
      </w:r>
      <w:r w:rsidRPr="00B916E6">
        <w:rPr>
          <w:rFonts w:hAnsi="標楷體" w:cs="標楷體" w:hint="eastAsia"/>
        </w:rPr>
        <w:t>再查林口特定區計畫圖，發現陳訴人所</w:t>
      </w:r>
      <w:r w:rsidRPr="00B916E6">
        <w:rPr>
          <w:rFonts w:hAnsi="標楷體" w:hint="eastAsia"/>
        </w:rPr>
        <w:t>有土地確屬農業區，非屬公園用地範圍，經再比對徵收範圍，發現原徵收土地，尚有十‧九四四六七公頃農業區土地，非屬中正運動公園用地範圍，已然違反都市計畫法第五十二條規定。而屬中正運動公園用地之舊路坑段大埔小段二七之三地號等土地，面積六‧五八七一公頃，竟未予徵收，即應徵收之公園用地不予徵收，而不應徵收之農業區土地，竟然強制徵收，其徵收行為與土地法第二百零八條規定不合。需地機關於發現徵收有違法律規定後，依都市計畫法第二十七條第一項第四款規定函請都市計畫主管機關變更都市計畫，經桃園縣政府於民國七十五年六月二日以桃府建都字第六九三七三號函發布將徵收之農業區土地變更為公園用地。參、聲請解釋之理由及聲請人對本案所持之立場與見解</w:t>
      </w:r>
      <w:r w:rsidRPr="00B916E6">
        <w:rPr>
          <w:rFonts w:ascii="MS Mincho" w:eastAsia="MS Mincho" w:hAnsi="MS Mincho" w:cs="MS Mincho" w:hint="eastAsia"/>
        </w:rPr>
        <w:t>㈠</w:t>
      </w:r>
      <w:r w:rsidRPr="00B916E6">
        <w:rPr>
          <w:rFonts w:hAnsi="標楷體" w:cs="標楷體" w:hint="eastAsia"/>
        </w:rPr>
        <w:t>按依法行政係以行政機關執行法律規定，以實現法律所欲達成之政策目標，此種政策目標均應依法行事，使人民可以預見其權利及義務，在政府行政行為之結果，而有法律秩序的安定作用。因此舉凡國家對人民之自由、財產之行政處分行為，均有法律明文規定，俾符憲法第十五條及中央法規標準法第五條規定，本件徵收人民財產自應以法律規定為前提，而本案陳訴人所有土地既為農業區，非屬公共設施用地，依都市計畫法第五十二條規定自不宜徵收為公共設</w:t>
      </w:r>
      <w:r w:rsidRPr="00B916E6">
        <w:rPr>
          <w:rFonts w:hAnsi="標楷體" w:hint="eastAsia"/>
        </w:rPr>
        <w:t>施用地，行政院屢以法未明文規定農業區不得徵收為由，放任都市計畫區內之公園用地不予徵收而強予徵收農業區土地，經本院認為徵收違法，而要求補救。行政院卻以該農業區土地於徵收後已將之變更為公園用地，並引用行政法院七十四年度判字第七四０號判決略以「變更都市計畫係屬台灣省政府之行政措施，配合辦理」及法律並無規定不得徵收云云，而不予補救。本院認為此種以不合法之徵收變更為合法之行政措施，無補於徵收違反都市計畫法之事實。</w:t>
      </w:r>
      <w:r w:rsidRPr="00B916E6">
        <w:rPr>
          <w:rFonts w:ascii="MS Mincho" w:eastAsia="MS Mincho" w:hAnsi="MS Mincho" w:cs="MS Mincho" w:hint="eastAsia"/>
        </w:rPr>
        <w:t>㈡</w:t>
      </w:r>
      <w:r w:rsidRPr="00B916E6">
        <w:rPr>
          <w:rFonts w:hAnsi="標楷體" w:cs="標楷體" w:hint="eastAsia"/>
        </w:rPr>
        <w:t>依土地法第二百二十七條規定，徵收土地應公告三十日並通知土地所有權人，法有明文，本徵收案經行政院於六十五年</w:t>
      </w:r>
      <w:r w:rsidRPr="00B916E6">
        <w:rPr>
          <w:rFonts w:hAnsi="標楷體" w:hint="eastAsia"/>
        </w:rPr>
        <w:t>十月十八日台內地字第七０五五五四號函核准徵收，並經台灣省政府於六十五年十月三十日府民地丁字第一０四二０九號函轉桃園縣政府迅依土地法第二百二十七條規定辦理，該府於六十六年七月十三日以桃府地用字第七０九四一號函公告，並於函內註明公告期間自六十六年七月十一日至八月十日止，發文日期為七月十三日，公告期間之始日在發文之前，其公告未滿三十日已然明確，明顯違反土地法規定，損及人民財產權益。前經本院糾正，據行政院八十年十月七日台內字第三一八八六一號函復略以：「關於本案徵收公告未滿三十日乙節，按市縣地政機關於接到中央地政機關或省政府通知核准徵收土地案時，應即公告，公告期間為三十日，土地法第二百二十七條定有明文。惟本徵收案之土地所有權人及他項權利人並未於徵收公告開始之日起三十日內對核准徵收案提出異議，亦未於接到徵收通知函三十日內對核准徵收案作不服之表示，衡諸行政法院五十二年判字第二六三號判例要旨：『土地徵收為行政處分之一種，土地所有權人對於政府徵收其土地如有不服，自應依通常程序於接到徵收通知後三十日內提起訴願，逾期則徵收即歸確定，不得再對之有何爭執，請求變更已確定之徵收處分。』本徵收案應即歸確定，故本徵收案，縱徵收公告未滿三十日，尚不影響公告之徵收效力」云云。按本案以農業區徵收，以土地所有權人而言，其所有土地，因非公共設施用地，在未收受徵收公告通知且桃園縣政府無法舉證其已將徵收通知送達陳訴人之情形下，其未收到徵收公告應無疑義，縱其收受徵收通知，則因徵收公告未滿三十日，致陳訴人無法於公告期間內提出異議，已屬事實，從而其未依法定程序辦理，徒以行政法院五十二年判字第二六三號判例據為認定本案徵收有效確定，導致陳訴人財產無法獲得保障。</w:t>
      </w:r>
      <w:r w:rsidRPr="00B916E6">
        <w:rPr>
          <w:rFonts w:ascii="MS Mincho" w:eastAsia="MS Mincho" w:hAnsi="MS Mincho" w:cs="MS Mincho" w:hint="eastAsia"/>
        </w:rPr>
        <w:t>㈢</w:t>
      </w:r>
      <w:r w:rsidRPr="00B916E6">
        <w:rPr>
          <w:rFonts w:hAnsi="標楷體" w:cs="標楷體" w:hint="eastAsia"/>
        </w:rPr>
        <w:t>按土地徵收係政府對人民受憲法保障之財產權，在符合法律之要件下，經由法定程序予以取得人民土地作為公共使用之行</w:t>
      </w:r>
      <w:r w:rsidRPr="00B916E6">
        <w:rPr>
          <w:rFonts w:hAnsi="標楷體" w:hint="eastAsia"/>
        </w:rPr>
        <w:t>為，因非出於人民之自願而取得其財產，是以其徵收必以符合法律規定為前提，始合憲法保障人民財產權之旨趣。本院認為本案系爭都市計畫範圍內農業區土地，非屬公共設施用地，自不得以徵收名義強取人民財產。肆：關係文件之名稱</w:t>
      </w:r>
      <w:r w:rsidRPr="00B916E6">
        <w:rPr>
          <w:rFonts w:ascii="MS Mincho" w:eastAsia="MS Mincho" w:hAnsi="MS Mincho" w:cs="MS Mincho" w:hint="eastAsia"/>
          <w:b/>
        </w:rPr>
        <w:t>㈠</w:t>
      </w:r>
      <w:r w:rsidRPr="00B916E6">
        <w:rPr>
          <w:rFonts w:hAnsi="標楷體" w:cs="標楷體" w:hint="eastAsia"/>
          <w:b/>
        </w:rPr>
        <w:t>本院調查報告、</w:t>
      </w:r>
      <w:r w:rsidRPr="00B916E6">
        <w:rPr>
          <w:rFonts w:ascii="MS Mincho" w:eastAsia="MS Mincho" w:hAnsi="MS Mincho" w:cs="MS Mincho" w:hint="eastAsia"/>
          <w:b/>
        </w:rPr>
        <w:t>㈡</w:t>
      </w:r>
      <w:r w:rsidRPr="00B916E6">
        <w:rPr>
          <w:rFonts w:hAnsi="標楷體" w:cs="標楷體" w:hint="eastAsia"/>
          <w:b/>
        </w:rPr>
        <w:t>行政院復函</w:t>
      </w:r>
      <w:r w:rsidRPr="00B916E6">
        <w:rPr>
          <w:rFonts w:hAnsi="標楷體" w:cs="標楷體" w:hint="eastAsia"/>
        </w:rPr>
        <w:t>、</w:t>
      </w:r>
      <w:r w:rsidRPr="00B916E6">
        <w:rPr>
          <w:rFonts w:ascii="MS Mincho" w:eastAsia="MS Mincho" w:hAnsi="MS Mincho" w:cs="MS Mincho" w:hint="eastAsia"/>
        </w:rPr>
        <w:t>㈢</w:t>
      </w:r>
      <w:r w:rsidRPr="00B916E6">
        <w:rPr>
          <w:rFonts w:hAnsi="標楷體" w:cs="標楷體" w:hint="eastAsia"/>
        </w:rPr>
        <w:t>行政法院七十四年六月六日七十四年度判字第七四０號判決影本及</w:t>
      </w:r>
      <w:r w:rsidRPr="00B916E6">
        <w:rPr>
          <w:rFonts w:ascii="MS Mincho" w:eastAsia="MS Mincho" w:hAnsi="MS Mincho" w:cs="MS Mincho" w:hint="eastAsia"/>
        </w:rPr>
        <w:t>㈣</w:t>
      </w:r>
      <w:r w:rsidRPr="00B916E6">
        <w:rPr>
          <w:rFonts w:hAnsi="標楷體" w:cs="標楷體" w:hint="eastAsia"/>
        </w:rPr>
        <w:t>變更林口特定區（暫緩發展地區、保護區為介壽運動公園，介壽運動公園為暫緩發展地區、保護區、都市化地區第二階段發展地區）計畫書等影本。</w:t>
      </w:r>
    </w:p>
    <w:p w:rsidR="00032BDC" w:rsidRPr="00B916E6" w:rsidRDefault="00032BDC" w:rsidP="00D03230">
      <w:pPr>
        <w:pStyle w:val="afd"/>
        <w:ind w:left="198" w:hanging="198"/>
        <w:jc w:val="both"/>
        <w:rPr>
          <w:rFonts w:hAnsi="標楷體"/>
        </w:rPr>
      </w:pPr>
      <w:r w:rsidRPr="00B916E6">
        <w:rPr>
          <w:rFonts w:hAnsi="標楷體" w:hint="eastAsia"/>
        </w:rPr>
        <w:t xml:space="preserve"> 行政院函中華民國八十七年一月五日台八十七內字第</w:t>
      </w:r>
      <w:r w:rsidRPr="00B916E6">
        <w:rPr>
          <w:rFonts w:hAnsi="標楷體"/>
        </w:rPr>
        <w:t>00500</w:t>
      </w:r>
      <w:r w:rsidRPr="00B916E6">
        <w:rPr>
          <w:rFonts w:hAnsi="標楷體" w:hint="eastAsia"/>
        </w:rPr>
        <w:t>號，主</w:t>
      </w:r>
      <w:r w:rsidRPr="00B916E6">
        <w:rPr>
          <w:rFonts w:hAnsi="標楷體"/>
        </w:rPr>
        <w:t xml:space="preserve"> </w:t>
      </w:r>
      <w:r w:rsidRPr="00B916E6">
        <w:rPr>
          <w:rFonts w:hAnsi="標楷體" w:hint="eastAsia"/>
        </w:rPr>
        <w:t>旨：貴院函為，據陳０本等陳訴：為教育部及桃園縣政府辦理中正運動公園徵收案，所徵用之土地與被徵收之土地，地點不符，侵害彼等權益，業經調查竣事，</w:t>
      </w:r>
      <w:r w:rsidRPr="00B916E6">
        <w:rPr>
          <w:rFonts w:hAnsi="標楷體" w:hint="eastAsia"/>
          <w:b/>
        </w:rPr>
        <w:t>檢附調查意見，</w:t>
      </w:r>
      <w:r w:rsidRPr="00B916E6">
        <w:rPr>
          <w:rFonts w:hAnsi="標楷體" w:hint="eastAsia"/>
        </w:rPr>
        <w:t>囑轉飭所屬研處見復一案，經轉據教育部會商內政部及台灣省政府等有關機關函報查處情形，尚屬實情，復請</w:t>
      </w:r>
      <w:r w:rsidRPr="00B916E6">
        <w:rPr>
          <w:rFonts w:hAnsi="標楷體"/>
        </w:rPr>
        <w:t xml:space="preserve"> </w:t>
      </w:r>
      <w:r w:rsidRPr="00B916E6">
        <w:rPr>
          <w:rFonts w:hAnsi="標楷體" w:hint="eastAsia"/>
        </w:rPr>
        <w:t>查照。說</w:t>
      </w:r>
      <w:r w:rsidRPr="00B916E6">
        <w:rPr>
          <w:rFonts w:hAnsi="標楷體"/>
        </w:rPr>
        <w:t xml:space="preserve"> </w:t>
      </w:r>
      <w:r w:rsidRPr="00B916E6">
        <w:rPr>
          <w:rFonts w:hAnsi="標楷體" w:hint="eastAsia"/>
        </w:rPr>
        <w:t>明：一、本件係繼本院八十六年十月七日台八十六內字第三八四八０號函，續復</w:t>
      </w:r>
      <w:r w:rsidRPr="00B916E6">
        <w:rPr>
          <w:rFonts w:hAnsi="標楷體"/>
        </w:rPr>
        <w:t xml:space="preserve"> </w:t>
      </w:r>
      <w:r w:rsidRPr="00B916E6">
        <w:rPr>
          <w:rFonts w:hAnsi="標楷體" w:hint="eastAsia"/>
        </w:rPr>
        <w:t>貴院八十六年二月二十日及十月二十二日（</w:t>
      </w:r>
      <w:r w:rsidRPr="00B916E6">
        <w:rPr>
          <w:rFonts w:hAnsi="標楷體"/>
        </w:rPr>
        <w:t>86</w:t>
      </w:r>
      <w:r w:rsidRPr="00B916E6">
        <w:rPr>
          <w:rFonts w:hAnsi="標楷體" w:hint="eastAsia"/>
        </w:rPr>
        <w:t>）院台教字第八六二四０００六一號及第八六二四００二七八號函。二、影附教育部八十六年十一月二十八日台（</w:t>
      </w:r>
      <w:r w:rsidRPr="00B916E6">
        <w:rPr>
          <w:rFonts w:hAnsi="標楷體"/>
        </w:rPr>
        <w:t>86</w:t>
      </w:r>
      <w:r w:rsidRPr="00B916E6">
        <w:rPr>
          <w:rFonts w:hAnsi="標楷體" w:hint="eastAsia"/>
        </w:rPr>
        <w:t>）總</w:t>
      </w:r>
      <w:r w:rsidRPr="00B916E6">
        <w:rPr>
          <w:rFonts w:ascii="MS Mincho" w:eastAsia="MS Mincho" w:hAnsi="MS Mincho" w:cs="MS Mincho" w:hint="eastAsia"/>
        </w:rPr>
        <w:t>㈠</w:t>
      </w:r>
      <w:r w:rsidRPr="00B916E6">
        <w:rPr>
          <w:rFonts w:hAnsi="標楷體" w:cs="標楷體" w:hint="eastAsia"/>
        </w:rPr>
        <w:t>字第八六一三五六七四號函及附件各一份。</w:t>
      </w:r>
    </w:p>
  </w:footnote>
  <w:footnote w:id="19">
    <w:p w:rsidR="00032BDC" w:rsidRPr="00B916E6" w:rsidRDefault="00032BDC" w:rsidP="004F298E">
      <w:pPr>
        <w:pStyle w:val="afd"/>
        <w:ind w:left="198" w:hanging="198"/>
        <w:rPr>
          <w:rFonts w:hAnsi="標楷體"/>
          <w:b/>
        </w:rPr>
      </w:pPr>
      <w:r w:rsidRPr="00B916E6">
        <w:rPr>
          <w:rStyle w:val="aff"/>
          <w:rFonts w:hAnsi="標楷體"/>
        </w:rPr>
        <w:footnoteRef/>
      </w:r>
      <w:r w:rsidRPr="00B916E6">
        <w:rPr>
          <w:rFonts w:hAnsi="標楷體"/>
        </w:rPr>
        <w:t xml:space="preserve"> </w:t>
      </w:r>
      <w:r w:rsidRPr="00B916E6">
        <w:rPr>
          <w:rFonts w:hAnsi="標楷體" w:hint="eastAsia"/>
          <w:b/>
        </w:rPr>
        <w:t>本文僅就學者李建良之口頭說明即加以論述或有失偏頗，然其責任並非監察院所造成，而是司法院大法官於本件公開說明會，從未將相關機關與六位學者之論點</w:t>
      </w:r>
      <w:r w:rsidR="006D0BE8" w:rsidRPr="00B916E6">
        <w:rPr>
          <w:rFonts w:hAnsi="標楷體" w:hint="eastAsia"/>
          <w:b/>
        </w:rPr>
        <w:t>影附</w:t>
      </w:r>
      <w:r w:rsidRPr="00B916E6">
        <w:rPr>
          <w:rFonts w:hAnsi="標楷體" w:hint="eastAsia"/>
          <w:b/>
        </w:rPr>
        <w:t>過院，故本院無從就學者李建良論點之完整論述，加以客觀評論。</w:t>
      </w:r>
    </w:p>
  </w:footnote>
  <w:footnote w:id="20">
    <w:p w:rsidR="00032BDC" w:rsidRPr="00B916E6" w:rsidRDefault="00032BDC" w:rsidP="00D03230">
      <w:pPr>
        <w:pStyle w:val="afd"/>
        <w:ind w:left="198" w:hanging="198"/>
        <w:jc w:val="both"/>
        <w:rPr>
          <w:rFonts w:hAnsi="標楷體"/>
        </w:rPr>
      </w:pPr>
      <w:r w:rsidRPr="00B916E6">
        <w:rPr>
          <w:rStyle w:val="aff"/>
          <w:rFonts w:hAnsi="標楷體"/>
        </w:rPr>
        <w:footnoteRef/>
      </w:r>
      <w:r w:rsidRPr="00B916E6">
        <w:rPr>
          <w:rFonts w:hAnsi="標楷體" w:hint="eastAsia"/>
        </w:rPr>
        <w:t xml:space="preserve"> </w:t>
      </w:r>
      <w:r w:rsidRPr="00B916E6">
        <w:rPr>
          <w:rFonts w:hAnsi="標楷體" w:hint="eastAsia"/>
        </w:rPr>
        <w:t>一、外交部對外籍配偶來臺簽證申請准駁，概認係屬政治問題，不受司法管轄，侵害當事人訴訟基本權，實有不當。(一)外籍人士與國人結婚其組成係為本國家庭。查臺灣近一、二十年來，人口結構產生劇烈變化，依據內政部統計資料顯示，自民國76年1月至96年底止，臺灣地區的外籍與大陸配偶人數，已達39.9萬人，其中外籍配偶占34.2％有13萬6,617人（男性10,043人，女性126,575人）。以96年統計，國人結婚之外籍配偶，主要集中於東南亞地區達6,952人，占外籍配偶之72.77％。依據外交部領事事務局針對東南亞地區外籍配偶依親停（居）留簽證統計，從87年至96年計有13萬5,240人獲得簽證（外交部領事事務局，2008）；而東南亞地區外籍配偶（女性）在87年至95年止，已有4萬6912人歸化取得我國國籍（內政部統計處，2008）。外籍配偶及其婚配之下一代現已成為臺灣社會第五大族群。然這些婚姻移民在臺灣所組成之家庭，其配偶及所生子女，依國籍法第2條規定，均為中華民國國民，其組成之家庭就其本質尚非外籍家庭而係不折不扣的本國家庭，其所生之基本權利應受到我國憲法及相關法律之保障。(二)我國憲法、司法院大法官會議解釋及具有國內法效力之國際公約均保障婚姻與家庭權，家庭權之內容應包含家庭團聚及共同生活權。１、按憲法第22條：「凡人民之其他自由及權利，不妨害社會秩序、公共利益者，均受憲法之保障。」司法院大法官會議釋字第242號解釋：「……將致人民不得享有正常婚姻生活，嚴重影響後婚姻當事人及其親屬之家庭生活及人倫關係，反足以妨害社會秩序，就此而言，自與憲法第22條保障人民自由及權利之規定，有所牴觸。」釋字第552解釋：「惟婚姻不僅涉及當事人個人身分關係之變更，且與婚姻人倫秩序之維繫、家庭制度之健全、子女之正常成長等公共利益攸關。」釋字第554號解釋：「婚姻與家庭為社會形成與發展之基礎，受憲法制度性保障。婚姻制度植基於人格自由，具有維護人倫秩序、男女平等、養育子女等社會性功能…。」是故，顯見在我國憲法下承認婚姻及家庭係為憲法第22條所保障之基本權利，應受憲法制度性保障。２、又立法院於本（98）年4月22日公布「公民與政治權利國際公約及經濟社會文化權利國際公約施行法」，該施行法第2條規定：「兩公約所揭示保障人權之規定，具有國內法律之效力。」。依公民與政治權利國際公約第23條第1項規定：「家庭為社會之自然基本團體單位，應受社會及國家之保護。」同公約第24條第1項規定：「所有兒童有權享受家庭、社會及國家為其未成年身分給予之必需保護措施，不因種族、膚色、性別、語言、宗教、民族本源或社會、階段財產、或出生而受歧視。」又經濟、社會和文化權利國際公約第10條第1項、第3項規定：「本公約締約國承認：一、對作為社會的自然和基本的單元的家庭，特別是對於它的建立和當它負責照顧和教育未獨立的兒童時，應給以盡可能廣泛的保護和協助。三、應為一切兒童和少年採取特殊的保護和協助措施…」是則，依據前揭公約尚未以國籍加以區分，故不論外籍家庭或本國家庭，均應受我國法律保障。３、按人類婚姻及家庭先於國家、憲法而存在，憲法有關婚姻與家庭權之內涵係在保障國民先天之家庭生活，從而婚姻及家庭非僅作為社會制度而受到保護，而應為憲法保障之基本權利。憲法有關婚姻與家庭權之範疇，至少應包括婚姻自由權、家庭團聚及共同生活權（The right to family reunion）暨未成年子女享有父母保護教養權等，國家對此應建立制度性保障，使家庭具有維護人倫秩序、男女平等、養育子女等社會性功能，俾確保家庭制度之存續與圓滿，參與本案諮詢會之與會學者，同此見解。４、另按，世界人權宣言第16條第3項規定：「家庭是天然的和基本的社會單元，並應受社會和國家的保護。」兒童權利公約第10條第1項：「兒童或其父母為團聚而請求進入或離開簽約國時，簽約國應以積極、人道與通融的方式處理之。簽約國並應確保請求人或其家屬不因該請求而蒙受不利。」同條第3項：「父母分住於不同國家之兒童..有權與其父母定期直接接觸保持私人關係。簽約國應……尊重兒童及其父母得離開任何國家，包括進出自己國家的權利。而出國之權利除依法且不違背公約所承認之其他權利，並為保障國家安全、公共秩序、公共衛生與道德以及他人之權利與自由者外，不得加以限制。」歐洲人權公約第8條第1項規定：「人人有權使他的私人和家庭生活，他的家庭和通信受到尊重。」同公約第12條規定：「達到結婚年齡的男女有依照有關行使此權的國內法，結婚和成立家庭的權利。」前述相關國際跨區域及區域人權法規，亦值我國建立相關法制保障婚姻與家庭權時之參考。(三)外交部向來見解認為簽證申請准駁係屬重大政治問題，不受司法審查。按外國人（含外籍配偶）簽證之申請，外交部就此准駁應否給予救濟，該部素持下列理由：依外國護照簽證條例第1條規定，簽證之核發，係屬國家主權之行使，且須維護國家利益；同條例第12條第1項另規定，除申請人個別情形外，外交部或駐外館處應同時衡酌『國家利益』及『申請人所屬國家與我國關係』，作為簽證申請准駁之依據。是則，簽證申請之准駁，實涉及高度複雜的國際政治問題；又依據法務部81年1月6日法81律字第00185號函：『駐外使領館或機構對於外國人申請入境所作拒絕簽證之行為，係國家主權之行使，除我國法律或國際條約、協定等另有特別規定者外，不得表示不服。』及參酌司法院大法官會議釋字第328號及第419號解釋意旨，咸認重大政治問題不宜由司法權介入審查」云云。(四)司法、行政及法務相關部會認為外籍配偶之簽證申請准駁，並非政治問題，係受司法管轄之行政行為，見解如下：１、據法務部表示：「本部81年1月6日法（81）律字第00185號函表示：『駐外使領館或機構對於外國人申請入境所作拒絕簽證之行為，係國家主權之行使，除我國法律或國際條約、協定等另有特別規定者外，不得表示不服。』此係就我國駐外之使領館或機構對於當地外國人申請進入我國之情形為討論，而本案事實係與我國人民結婚之外籍配偶申請來臺所衍生之簽證准駁事宜，二者基本事實不同，得否比附援引適用，不無疑義。再者，上開函釋係基於當時之時空環境所得之結論，目前之時空背景與斯時大有不同，行政爭訟之相關法制已修訂健全，加以落實法治、保障人權（訴訟權）之標準不斷提升，故上開本部函釋容有檢討修正之空間。」此有法務部98年7月1日列席本院諮詢會議所提之書面意見在卷可稽；２、行政院法規委員會則表示：「……惟查有關駐外館處拒發外籍配偶簽證之訴願案件，在實務上業經本院訴願審議委員會進行實體審理，當事人如有不服，尚得循行政訴訟管道救濟，已無不受司法審查之情形。」此有該委員會98年7月1日列席本院諮詢會議所提供之書面意見在卷可明；３、司法院行政訴訟及懲戒廳則以：「目前實務上，台北高等行政法院96年度訴字第00974號護照事件判決撤銷訴願不受理之決定，認為外籍配偶依親居留事件無排除司法審查之依據，訴願機關應從實體全面審議外交部拒發原告（外籍配偶）簽證處分之合法性及適當性。最高行政法院95年度判字第00853號判決，認外國人出入境具高度政治性，行政程序法第3條第2項第2款雖規定排除行政程序法之適用，以賦予行政機關較大之自由形成空間，但並非謂行政機關就該事項所為之判斷均不受司法審查。臺北高等行政法院96年度訴字第00970號判決亦認－為外國人簽證之准駁，行政法院有審判權，其理由略謂：該准駁之處分從外觀上不能認定涉入政治問題，並非『不受司法管轄之高權行為』」此亦載於司法院98年7月1日列席本院諮詢會議所提供之書面意見。(五)外交部對外籍配偶簽證申請准駁，概認係屬政治問題，不受司法管轄，侵害當事人訴訟基本權。按人權保障國際化，為戰後之趨勢，人權保障之主體，不限於本國國籍者，在一定條件及範圍內，應朝向肯認外國人人權之方向發展（蔡秀卿撰「行政程序法制定之意義與課題」，刊於月旦法學雜誌，1999年7月第50期，第26頁參照）。其有關訴願權及訴訟權方面，雖其建制與運作與該國救濟制度有關，惟學者認為此制度性、工具性之權利，亦應為外國人所享有。（李建良撰「外國人權利保障的理念與實務」，刊於臺灣本土法學雜誌，2003年7月第48期，第98頁參照）。按訴願法及行政訴訟法均未規定外國人不得提起訴願或行政訴訟。與會學者蔡○○、洪○○教授所肯認外籍配偶來台簽證申請遭拒時，外籍配偶有權提起訴願及行政訴訟，何況真實婚姻之外籍配偶如無法來台，將侵害國人配偶暨其未成年子女之家庭團聚與共同生活權，應給予訴訟救濟，始為正辦；惟外交部對於外籍配偶簽證申請准駁，一概認為係屬政治問題，不受司法管轄，實屬侵害當事人訴訟基本權，顯有不當。</w:t>
      </w:r>
    </w:p>
    <w:p w:rsidR="00032BDC" w:rsidRPr="00B916E6" w:rsidRDefault="00032BDC" w:rsidP="00D03230">
      <w:pPr>
        <w:pStyle w:val="afd"/>
        <w:ind w:left="198" w:hanging="198"/>
        <w:jc w:val="both"/>
        <w:rPr>
          <w:rFonts w:hAnsi="標楷體"/>
        </w:rPr>
      </w:pPr>
      <w:r w:rsidRPr="00B916E6">
        <w:rPr>
          <w:rFonts w:hAnsi="標楷體" w:hint="eastAsia"/>
        </w:rPr>
        <w:t xml:space="preserve">  二、外交部濫用外國護照簽證條例所賦予之裁量權，對外籍配偶簽證申請之拒絕處分，不採書面方式及未附理由暨未載明不服時如何救濟之教示條款，侵害當事人訴訟基本權，並有違武器平等原則，與正當法律程序有悖，確有違失。(一)外交部認為外籍配偶簽證申請之拒絕處分不必採書面方式及無庸附理由暨教示條款。按外國人（含外籍配偶）簽證之申請，外交部就此准駁認為無庸給予書面、拒絕理由暨教示條款之理由略以：１、簽證申請准駁判斷標準，除申請人個別情形外，尚包括國家利益及申請人所屬國家與我國關係在內，因此非所有拒發理由均適宜告知申請人。外國護照簽證條例第12條第2項規定，拒發簽證時得不附理由，載有明文。２、又按法務部81年1月6日法81律字第00185號函釋，對於拒絕簽證之行為不得表示不服。另最高法院80年台上第917號判決「外國人申請核發入境、居停留簽證..，國家基於主權之行使，認為必要時，得加以拒絕而不予准許，且無須附加理由。」又簽證申請之准駁，涉及高度複雜的國際政治問題，參酌司法院大法官會議釋字第328號及第419號解釋意旨，咸認重大政治問題不宜由司法權介入審查。行政處分應附理由，乃基於保障人民提起行政救濟之權利；既然簽證之准駁不宜進行司法審查，則拒發簽證時不附理由，自無侵害人民受憲法保障之訴訟權利之虞。３、另依據行政程序法第95條規定，行政處分得以言詞方式為之；實務上，駐外館處否准外籍配偶簽證，均口頭告知拒件理由，並提供當事人補正資料及再次面談機會，已符合上述法令規範。此有外交部領事事務局98年5月11日、98年7月14日回覆本院約詢書面資料可稽。(二)簽證准駁係屬行政處分，對外籍配偶簽證拒絕處分，應給予書面及附記不服時如何救濟之教示條款，並原則上記明拒絕理由，始符正當法律程序。惟外交部迄未採前揭程序，肇致未黯我國法令之外籍配偶暨其配偶及未成年子女難以獲得救濟，侵害當事人訴訟基本權，顯有不當。１、行政程序法第92條第1項規定：「本法所稱行政處分，係指行政機關就公法上具體事件所為之決定或其他公權力措施而對外直接發生法律效果之單方行政行為。」而簽證准駁屬公法（外國護照簽證條例之本質係屬公法，而其所為行政行為係屬高權行政）上具體事件，產生單方法律效果，為行政處分。２、就簽證拒絕是否應有書面及附有理由部分。(１)查，我國行政程序法第3條第3項第2款明定有關外國人之出入境不適用本法之程序規定，僅係不適用程序規定（例如第46條閱覽卷宗、第102條陳述意見、第107條聽證等規定），至於實體規定（例如第4條至第10條行政法之一般法律原則、第92條行政處分之要件、第111條行政處分之無效等規定），均仍在應適用之範圍，法務部於91年4月1日法律字第0910010998號函釋行政程序法適用範圍時，亦同此見解。(２)復按行政程序法第95條第1項規定：「行政處分除法規另有要式之規定者外，得以書面、言詞或其他方式為之。」行政程序法第96條第1項第2款、第6款規定：「行政處分以書面為之者，應記載下列事項︰……二、主旨、事實、理由及其法令依據。……」第97條第6款規定：「書面之行政處分有下列各款情形之一者，得不記明理由︰……六、依法律規定無須記明理由者。」(３)外交部認為簽證申請駁回之行政處分得以言詞方式為之。惟按行政處分雖採方式自由原則。但基於書面方式具有明白、容易證明以及檔案管理方便等特點，係屬行政處分之通常方式。至於言詞或其他方式，僅於該方式適合達成行政處分之目的時，始得採用。例如警察以手勢指揮交通、以喊話及舉牌解散違規遊行等（陳敏，2004年，行政法總論，第383頁參照）。主管機關外交部所云不採書面方式，尚與行政程序法解釋機關法務部所提法律意見逕行適用行政程序法第96條書面行政處分（意見頁5-6）及大法官陳敏意見未盡相符，尚不足採。(４)又外籍配偶申請簽證准駁係屬行政處分。行政處分原則上應附記理由，但其他法律規定無須記明理由者，不在此限（行政程序法第97條第6款規定）。依外國護照簽證條例第12條第2項規定，拒發簽證時，得不附理由。構成行政程序法第3條第1項及第97條第6款之特別規定，依「特別規定優先適用」原則，外交部對外國人簽證准駁，得不附理由。惟如調查意見一所述，在保障真實婚姻原則下，外籍配偶對於來台簽證申請被拒絕時，為維護武器平等原則及供外籍配偶及其法律上利害關係人（含台籍配偶及未成年子女）有權提起訴願及行政訴訟，外籍配偶允宜知悉拒絕簽證之理由。然基於維護國家安全，必要時，對外籍配偶簽證拒絕處分，外交部得不記明理由。是則，對此拒絕處分仍應以記明理由為原則，不附理由為例外；又基於訴訟基本權之保障，仍應合乎正當法律程序，對外籍配偶簽證拒絕處分，外交部內部應詳載理由，對外得於何種情形不附理由，外交部仍應儘速制訂裁量基準之行政規則，始符法制。３、就簽證拒絕是否應有教示條款部分。(１)按行政程序法第96條第1項第6款規定：「行政處分以書面為之者，應記載下列事項︰六、表明其為行政處分之意旨及不服行政處分之救濟方法、期間及其受理機關。」復按釋字第491號解釋稱：「對於公務人員之免職處分既係限制憲法保障人民服公職之權利，自應踐行正當法律程序，諸如作成處分應經機關內部組成立場公正之委員會決議，處分前並應給予受處分人陳述及申辯之機會，處分書應附記理由，並表明救濟方法、期間及受理機關等，設立相關制度予以保障」準此，依行政程序法規定書面行政處分應附記教示條款，並無任何例外規定。又若涉及限制基本權利之行政處分其正當法律程序最低標準，至少應表明救濟方法、期間及受理機關等制度性保障，合先敘明。(２)查，外國護照簽證條例第12條第2項規定，並未賦予主管機關對於書面行政處分得不附記教示條款權利。惟主管機關外交部迄今於外籍配偶申請簽證拒發時，仍未建立教示制度。按教示制度之目的，係基於憲法第16條訴訟基本權之考量，保障處分相對人，因疏忽或不熟悉行政救濟程序，未能及時以正確方式請求法律救濟，故於行政程序法設定程序權保障之最低標準（陳敏，2004年，行政法總論，第387頁）。退萬步言，縱若不依行政程序法之規定附記教示條款，對於外籍配偶簽證申請拒絕處分，係限制憲法保障家庭共同生活之權利，乃屬侵害人民基本權利之行政行為，其踐行正當法律程序，不得低於前揭司法院大法官釋字第491號標準，處分書應表明救濟方法、期間及受理機關等。此項法律意見亦為行政程序法解釋機關法務部於98年7月1日列席本院諮詢會議所提書面資料暨本案諮詢與會學者專家會議紀錄可稽（蔡○○、洪○○、廖○○、廖○○等教授）。(３)綜上，外交部迄對外籍配偶簽證申請之拒絕處分，未附記教示條款，肇致未黯我國法令之外籍配偶無從獲得救濟，侵害當事者訴訟基本權，顯有不當。 (三)另按訴願法第18條規定「……受行政處分之相對人及利害關係人得提起訴願。」同法第77條第3款規定「訴願事件有下列各款情形之一者，應為不受理之決定：……三、訴願人不符合第18條之規定者。」行政訴訟法第4條第3項規定：「訴願人以外之利害關係人，認為第1項訴願決定，損害其權利或法律上之利益者，得向高等行政法院提起撤銷訴訟。」因不服行政機關之行政處分而循訴願或行政訴訟程序謀求救濟之人，主張為行政處分效力所及之第三人，應具有利害關係人之身分，而利害關係人含義之界定，行政法院向採嚴格立場，依現有之解釋判例，固包括利害關係人而非專以受處分人為限，所謂利害關係乃指法律上之利害關係而言，亦即其權利或法律上利益因行政處分而直接受有損害者，若僅具經濟上、情感上或其他事實上之利害關係者，並不屬之。（行政法院75年判字第362號判例；吳庚著，行政法之理論與實用，96年9月增訂10版，頁357）。因婚姻而形成家庭關係，其因實踐「相互扶持、共同生活」目的所須具備的社會現實條件，依據民法第1001條、第1084條規定，夫妻互負同居之義務，父母對於未成年子女有保護及教養之權利義務。上開法律上權利，若因公權力之作為而存有受限制或剝奪之外觀，權利受侵害之一方，自有實施訴訟之權能，係為適格之當事人，得提起行政爭訟。至於維持家庭所須之現實條件實質上是否真的受到限制或剝奪，則屬實體判斷之問題，與當事人適格有間。是則，除外籍配偶外，其本國籍配偶及其未成年子女，均為訴訟上之利害關係人，法務部、司法院及行政院法規會暨參與本案諮詢之學者專家於98年4月15日、98年7月1日、出席本案諮詢會議時均亦同此見解（高等行政法院法律座談會提案七結論，則就本國籍配偶明確表示具有利害關係人身分）。職故，外交部應依前揭適法見解，儘速對外籍配偶申請簽證之拒絕處分之方式、程序、送達規定暨教示條款，在遵循正當法律程序，制訂相關法規命令或行政規則，俾保障除外籍配偶外之本國配偶及未成年子女等利害關係人之訴訟基本權，始為正辦。</w:t>
      </w:r>
    </w:p>
    <w:p w:rsidR="00032BDC" w:rsidRPr="00B916E6" w:rsidRDefault="00032BDC" w:rsidP="00D03230">
      <w:pPr>
        <w:pStyle w:val="afd"/>
        <w:ind w:left="198" w:hanging="198"/>
        <w:jc w:val="both"/>
        <w:rPr>
          <w:rFonts w:hAnsi="標楷體"/>
        </w:rPr>
      </w:pPr>
      <w:r w:rsidRPr="00B916E6">
        <w:rPr>
          <w:rFonts w:hAnsi="標楷體" w:hint="eastAsia"/>
        </w:rPr>
        <w:t xml:space="preserve">  三、外交部辦理外籍配偶簽證申請（居（停）留簽證）准駁，未基於事物本質與一般外國人為不同對待，違反憲法第7條平等原則並有侵害人民家庭團聚及共同生活權之嫌，顯有違失。(一)外交部依法為外籍配偶簽證申請之主管機關。查外國護照簽證條例第5條規定：「本條例之主管機關為外交部。」故有關外籍配偶簽證申請准駁主管機關係屬外交部。(二)依據司法院大法官會議解釋對相同事物為差別待遇而無正當理由，或對於不同事物未為合理之差別待遇，均屬違反憲法第7條平等原則。按中華民國人民在法律上一律平等，此為憲法第7條所明文保障之平等權，惟內涵並非指絕對、機械之形式上平等，而係保障人民在法律上地位之實質平等；基於憲法之價值體系及立法目的，自得斟酌規範事物性質之差異而為合理之差別對待（司法院釋字第485、596、605號解釋參照）。基於憲法第7條平等權而衍生之平等原則，亦稱為禁止差別待遇原則，意指行政權的行使，不論在實體上或程式上，相同事件應為相同處理，非有合理的正當理由，不得為差別待遇。準此，平等原則乃要求相同事務，應相同處理；不相同事務，應依其不同特性作不相同處理，亦即等者等之，不等者不等之。是如對相同事物為差別待遇而無正當理由，或對於不同事物未為合理之差別待遇，均屬違反平等原則（司法院釋字第593號解釋參照）。(三)有關外籍配偶簽證准駁之執行層面，主管機關外交部迄今尚未訂定相關行政規則將之與一般外國人加以區分，有違平等原則，自有不當。查，對於外籍配偶簽證准駁之相關作業迄至本案調查竣事前，外交部尚未訂定相關行政規則將之與一般外國人加以區分。然外籍配偶之身分，係基於與我國人民之婚姻關係，而婚姻不僅涉及當事人個人身分關係之變更，且具有維護人倫秩序、男女平等、養育子女等社會性功能（參照前述司法院釋字第242、554號解釋），其婚姻與家庭權所涉對象包括本國配偶及其子女，又外籍配偶之入境、居留更涉及日後國籍、工作權、社會保險、社會福利之取得，影響其所組成之本國家庭的婚姻與家庭權（含家庭團聚及共同生活權）甚鉅。故其簽證作業程序應如何規範，基於事物本質應與一般外國人之簽證為不同對待，主管機關外交部迄今尚未訂定相關法令將之與一般外國人加以區分，自有不當。</w:t>
      </w:r>
    </w:p>
    <w:p w:rsidR="00032BDC" w:rsidRPr="00B916E6" w:rsidRDefault="00032BDC" w:rsidP="00D03230">
      <w:pPr>
        <w:pStyle w:val="afd"/>
        <w:ind w:left="198" w:hanging="198"/>
        <w:jc w:val="both"/>
        <w:rPr>
          <w:rFonts w:hAnsi="標楷體"/>
        </w:rPr>
      </w:pPr>
      <w:r w:rsidRPr="00B916E6">
        <w:rPr>
          <w:rFonts w:hAnsi="標楷體" w:hint="eastAsia"/>
        </w:rPr>
        <w:t xml:space="preserve">  四、外交部所屬駐外館處辦理外籍配偶簽證申請之面談人員，迄無裁量權行使基準之面談辦法等行政規則可資依循，且教育訓練尚屬闕如，確有疏失。(一)外交部暨駐外館處對審查特定東南亞外籍配偶簽證申請案時，得進行面談並決定簽證之准駁與種類。按外國護照簽證條例暨其施行細則第5條第3項：「外交部及駐外館處得要求申請人面談……」及駐外領務人員辦理公證事務辦法，外交部駐外館處於辦理東南亞（印尼、越南、菲律賓、泰國、緬甸、柬埔寨等）外籍配偶來臺依親相關事宜，現行政策為雙方當事人必須親至駐外館處辦理結婚文件驗證手續，駐外館處於審查簽證申請案時進行面談，並視文件審查及面談結果決定簽證之准駁與種類，合先敘明。(二)外交部對於領務人員認定是否真實婚姻及拒絕時應否告知理由之裁量權行使基準，迄今尚未訂定面談辦法等相關行政規則，確有疏失。查現行外籍配偶之面談係由外交部駐外館處執行，境內部分僅有少數由外館報回國內之不確定可疑案件，於當事人入境欲申請居留簽證時，再由外交部領事事務局或各分支機構複談。惟查外交部現行相關行政命令（法規命令及行政規則），雖有該部領事事務局頒訂「駐外館處辦理外籍配偶面談應注意事項手冊」訂定面談執行程序暨面談基本題庫，但對領務人員認定是否真實婚姻及拒絕時應否告知理由之裁量權基準卻未建立，故其拒絕簽證之行政處分，易受各界質疑，並恐涉有侵害人民婚姻與家庭權之嫌。再查，外交部領事事務局亦於95年3月30日曾辦理「外籍配偶來臺簽證業務座談會」，該會議紀錄內容略以：「五、建立外籍配偶依親簽證面談準則，設立面談原則性內規，期縮小面談人員自由心證差異性。主席裁示：制定面談統一辦法有其必要，請館長協調外單位面談人員將自由心證降到最低，另請二組蒐集東南亞各館意見，研議制定面談統一辦法草案。」惟面談統一辦法迄未制訂公布。(三)又現行面談機制在相當程度上，雖已遏阻不法分子利用假結婚入境臺灣之功效，惟執行技巧上確已屢遭當事人、甚至社福及人權團體之批評，涉有侵害當事人之隱私權之嫌，此執行層次之問題，外交部允宜加強教育訓練積極改進。</w:t>
      </w:r>
    </w:p>
    <w:p w:rsidR="00032BDC" w:rsidRPr="00B916E6" w:rsidRDefault="00032BDC" w:rsidP="004F298E">
      <w:pPr>
        <w:pStyle w:val="afd"/>
        <w:ind w:left="198" w:hanging="198"/>
        <w:rPr>
          <w:rFonts w:hAnsi="標楷體"/>
        </w:rPr>
      </w:pPr>
    </w:p>
  </w:footnote>
  <w:footnote w:id="21">
    <w:p w:rsidR="00032BDC" w:rsidRPr="00B916E6" w:rsidRDefault="00032BDC" w:rsidP="006D0BE8">
      <w:pPr>
        <w:pStyle w:val="afd"/>
        <w:ind w:left="264" w:hangingChars="120" w:hanging="264"/>
        <w:jc w:val="both"/>
        <w:rPr>
          <w:rFonts w:hAnsi="標楷體"/>
        </w:rPr>
      </w:pPr>
      <w:r w:rsidRPr="00B916E6">
        <w:rPr>
          <w:rStyle w:val="aff"/>
          <w:rFonts w:hAnsi="標楷體"/>
        </w:rPr>
        <w:footnoteRef/>
      </w:r>
      <w:r w:rsidRPr="00B916E6">
        <w:rPr>
          <w:rFonts w:hAnsi="標楷體" w:hint="eastAsia"/>
        </w:rPr>
        <w:t xml:space="preserve"> 許宗力，〈權力分立與機關忠誠--</w:t>
      </w:r>
      <w:r w:rsidRPr="00B916E6">
        <w:rPr>
          <w:rFonts w:hAnsi="標楷體" w:hint="eastAsia"/>
        </w:rPr>
        <w:t>以德國憲法法院裁判為中心〉，《憲政時代》第27卷第4期，頁3-32。（許宗力。法與國家權力（二）。臺北市：元照。許宗力，2007：頁</w:t>
      </w:r>
      <w:r w:rsidRPr="00B916E6">
        <w:rPr>
          <w:rFonts w:hAnsi="標楷體"/>
        </w:rPr>
        <w:t>339</w:t>
      </w:r>
      <w:r w:rsidRPr="00B916E6">
        <w:rPr>
          <w:rFonts w:hAnsi="標楷體" w:hint="eastAsia"/>
        </w:rPr>
        <w:t>）。</w:t>
      </w:r>
    </w:p>
  </w:footnote>
  <w:footnote w:id="22">
    <w:p w:rsidR="00032BDC" w:rsidRPr="00B916E6" w:rsidRDefault="00032BDC" w:rsidP="006D0BE8">
      <w:pPr>
        <w:pStyle w:val="afd"/>
        <w:ind w:left="198" w:hanging="198"/>
        <w:jc w:val="both"/>
        <w:rPr>
          <w:rFonts w:hAnsi="標楷體"/>
        </w:rPr>
      </w:pPr>
      <w:r w:rsidRPr="00B916E6">
        <w:rPr>
          <w:rStyle w:val="aff"/>
          <w:rFonts w:hAnsi="標楷體"/>
        </w:rPr>
        <w:footnoteRef/>
      </w:r>
      <w:r w:rsidRPr="00B916E6">
        <w:rPr>
          <w:rFonts w:hAnsi="標楷體" w:hint="eastAsia"/>
        </w:rPr>
        <w:t xml:space="preserve"> 見Linda C. </w:t>
      </w:r>
      <w:proofErr w:type="spellStart"/>
      <w:r w:rsidRPr="00B916E6">
        <w:rPr>
          <w:rFonts w:hAnsi="標楷體" w:hint="eastAsia"/>
        </w:rPr>
        <w:t>Reif</w:t>
      </w:r>
      <w:proofErr w:type="spellEnd"/>
      <w:r w:rsidRPr="00B916E6">
        <w:rPr>
          <w:rFonts w:hAnsi="標楷體" w:hint="eastAsia"/>
        </w:rPr>
        <w:t xml:space="preserve">，監察與人權－良好治理及國際人權體系（The </w:t>
      </w:r>
      <w:proofErr w:type="spellStart"/>
      <w:r w:rsidRPr="00B916E6">
        <w:rPr>
          <w:rFonts w:hAnsi="標楷體" w:hint="eastAsia"/>
        </w:rPr>
        <w:t>Ombudsman,Good</w:t>
      </w:r>
      <w:proofErr w:type="spellEnd"/>
      <w:r w:rsidRPr="00B916E6">
        <w:rPr>
          <w:rFonts w:hAnsi="標楷體" w:hint="eastAsia"/>
        </w:rPr>
        <w:t xml:space="preserve"> Governance and the International Human rights System），監察院，頁14。</w:t>
      </w:r>
    </w:p>
  </w:footnote>
  <w:footnote w:id="23">
    <w:p w:rsidR="00032BDC" w:rsidRPr="00B916E6" w:rsidRDefault="00032BDC" w:rsidP="006D0BE8">
      <w:pPr>
        <w:pStyle w:val="afd"/>
        <w:ind w:left="198" w:hanging="198"/>
        <w:jc w:val="both"/>
        <w:rPr>
          <w:rFonts w:hAnsi="標楷體"/>
        </w:rPr>
      </w:pPr>
      <w:r w:rsidRPr="00B916E6">
        <w:rPr>
          <w:rStyle w:val="aff"/>
          <w:rFonts w:hAnsi="標楷體"/>
        </w:rPr>
        <w:footnoteRef/>
      </w:r>
      <w:r w:rsidRPr="00B916E6">
        <w:rPr>
          <w:rFonts w:hAnsi="標楷體"/>
        </w:rPr>
        <w:t xml:space="preserve"> </w:t>
      </w:r>
      <w:r w:rsidRPr="00B916E6">
        <w:rPr>
          <w:rFonts w:hAnsi="標楷體" w:hint="eastAsia"/>
        </w:rPr>
        <w:t xml:space="preserve">不具備強制改變的能力，反而是監察機關的一大優勢，而非其弱點。監察使所提建議應基於對所有事實徹底完整的調查，謹慎考慮所有觀點，並充分分析問題。透過這樣的理性分析，遠比加諸強制性更具影響力。見Linda C. </w:t>
      </w:r>
      <w:proofErr w:type="spellStart"/>
      <w:r w:rsidRPr="00B916E6">
        <w:rPr>
          <w:rFonts w:hAnsi="標楷體" w:hint="eastAsia"/>
        </w:rPr>
        <w:t>Reif</w:t>
      </w:r>
      <w:proofErr w:type="spellEnd"/>
      <w:r w:rsidRPr="00B916E6">
        <w:rPr>
          <w:rFonts w:hAnsi="標楷體" w:hint="eastAsia"/>
        </w:rPr>
        <w:t xml:space="preserve">，監察與人權－良好治理及國際人權體系（The </w:t>
      </w:r>
      <w:proofErr w:type="spellStart"/>
      <w:r w:rsidRPr="00B916E6">
        <w:rPr>
          <w:rFonts w:hAnsi="標楷體" w:hint="eastAsia"/>
        </w:rPr>
        <w:t>Ombudsman,Good</w:t>
      </w:r>
      <w:proofErr w:type="spellEnd"/>
      <w:r w:rsidRPr="00B916E6">
        <w:rPr>
          <w:rFonts w:hAnsi="標楷體" w:hint="eastAsia"/>
        </w:rPr>
        <w:t xml:space="preserve"> Governance and the International Human rights System），監察院，頁14。</w:t>
      </w:r>
    </w:p>
  </w:footnote>
  <w:footnote w:id="24">
    <w:p w:rsidR="00032BDC" w:rsidRPr="00B916E6" w:rsidRDefault="00032BDC" w:rsidP="00F915E8">
      <w:pPr>
        <w:pStyle w:val="afd"/>
        <w:ind w:left="198" w:hanging="198"/>
        <w:jc w:val="both"/>
        <w:rPr>
          <w:rFonts w:hAnsi="標楷體"/>
        </w:rPr>
      </w:pPr>
      <w:r w:rsidRPr="00B916E6">
        <w:rPr>
          <w:rStyle w:val="aff"/>
          <w:rFonts w:hAnsi="標楷體"/>
        </w:rPr>
        <w:footnoteRef/>
      </w:r>
      <w:r w:rsidRPr="00B916E6">
        <w:rPr>
          <w:rFonts w:hAnsi="標楷體" w:hint="eastAsia"/>
        </w:rPr>
        <w:t xml:space="preserve"> 例如國際籃球規定16.1.1</w:t>
      </w:r>
      <w:r w:rsidRPr="00B916E6">
        <w:rPr>
          <w:rFonts w:hAnsi="標楷體" w:hint="eastAsia"/>
        </w:rPr>
        <w:t>：當一個活球從上方進入球籃並停留在球籃內、或穿過球籃，稱為中籃。國際足球規定第十章：勝球方法當整個球體已越過兩球門柱之間及橫木以下的球門線，而進球的球隊在進球前沒有犯規行為，則算進球；在比賽時間內，進球數較多的一隊應為勝隊，如果雙方都未進球或進球數相等則為和局。國際柔道規則：(23)於對方肘關節以外之部位，施用[關節術]之動作。若於比賽時裁判者背離上開規則，籃球將擦板中籃視為不得分，認要空心球才算； 於足球比賽碰到門柱得分視為不得分；在柔道比賽時將對手攻擊肘關節以外之部位，不判出局，</w:t>
      </w:r>
      <w:r w:rsidRPr="00B916E6">
        <w:rPr>
          <w:rFonts w:hAnsi="標楷體" w:hint="eastAsia"/>
          <w:b/>
        </w:rPr>
        <w:t>裁判在比賽時會遭遇何種處遇？</w:t>
      </w:r>
      <w:r w:rsidRPr="00B916E6">
        <w:rPr>
          <w:rFonts w:hAnsi="標楷體" w:hint="eastAsia"/>
        </w:rPr>
        <w:t xml:space="preserve">  </w:t>
      </w:r>
    </w:p>
  </w:footnote>
  <w:footnote w:id="25">
    <w:p w:rsidR="00032BDC" w:rsidRPr="00B916E6" w:rsidRDefault="00032BDC" w:rsidP="004F298E">
      <w:pPr>
        <w:pStyle w:val="afd"/>
        <w:ind w:left="198" w:hanging="198"/>
        <w:rPr>
          <w:rFonts w:hAnsi="標楷體"/>
        </w:rPr>
      </w:pPr>
      <w:r w:rsidRPr="00B916E6">
        <w:rPr>
          <w:rStyle w:val="aff"/>
          <w:rFonts w:hAnsi="標楷體"/>
        </w:rPr>
        <w:footnoteRef/>
      </w:r>
      <w:r w:rsidRPr="00B916E6">
        <w:rPr>
          <w:rFonts w:hAnsi="標楷體"/>
        </w:rPr>
        <w:t xml:space="preserve"> </w:t>
      </w:r>
      <w:r w:rsidRPr="00B916E6">
        <w:rPr>
          <w:rFonts w:hAnsi="標楷體" w:hint="eastAsia"/>
        </w:rPr>
        <w:t>參見李建良，論審判獨立與司法行政命令權之關係-解析司法院大法官釋字530號解釋，臺灣本土法學雜誌，第32期（2002.3），頁43以下。</w:t>
      </w:r>
    </w:p>
  </w:footnote>
  <w:footnote w:id="26">
    <w:p w:rsidR="00032BDC" w:rsidRPr="00B916E6" w:rsidRDefault="00032BDC" w:rsidP="004F298E">
      <w:pPr>
        <w:pStyle w:val="afd"/>
        <w:ind w:left="198" w:hanging="198"/>
        <w:rPr>
          <w:rFonts w:hAnsi="標楷體"/>
        </w:rPr>
      </w:pPr>
      <w:r w:rsidRPr="00B916E6">
        <w:rPr>
          <w:rStyle w:val="aff"/>
          <w:rFonts w:hAnsi="標楷體"/>
        </w:rPr>
        <w:footnoteRef/>
      </w:r>
      <w:r w:rsidRPr="00B916E6">
        <w:rPr>
          <w:rFonts w:hAnsi="標楷體"/>
        </w:rPr>
        <w:t xml:space="preserve"> </w:t>
      </w:r>
      <w:r w:rsidRPr="00B916E6">
        <w:rPr>
          <w:rFonts w:hAnsi="標楷體" w:hint="eastAsia"/>
        </w:rPr>
        <w:t>楊子慧，憲法訴訟，元照（</w:t>
      </w:r>
      <w:r w:rsidRPr="00B916E6">
        <w:rPr>
          <w:rFonts w:hAnsi="標楷體" w:hint="eastAsia"/>
        </w:rPr>
        <w:t>西元2008.4），頁50。</w:t>
      </w:r>
    </w:p>
  </w:footnote>
  <w:footnote w:id="27">
    <w:p w:rsidR="00032BDC" w:rsidRPr="00B916E6" w:rsidRDefault="00032BDC" w:rsidP="004F298E">
      <w:pPr>
        <w:pStyle w:val="afd"/>
        <w:ind w:left="198" w:hanging="198"/>
        <w:rPr>
          <w:rFonts w:hAnsi="標楷體"/>
        </w:rPr>
      </w:pPr>
      <w:r w:rsidRPr="00B916E6">
        <w:rPr>
          <w:rStyle w:val="aff"/>
          <w:rFonts w:hAnsi="標楷體"/>
        </w:rPr>
        <w:footnoteRef/>
      </w:r>
      <w:r w:rsidRPr="00B916E6">
        <w:rPr>
          <w:rFonts w:hAnsi="標楷體"/>
        </w:rPr>
        <w:t xml:space="preserve"> </w:t>
      </w:r>
      <w:r w:rsidRPr="00B916E6">
        <w:rPr>
          <w:rFonts w:hAnsi="標楷體" w:hint="eastAsia"/>
        </w:rPr>
        <w:t>大法官陳春生曾於釋字735</w:t>
      </w:r>
      <w:r w:rsidRPr="00B916E6">
        <w:rPr>
          <w:rFonts w:hAnsi="標楷體" w:hint="eastAsia"/>
        </w:rPr>
        <w:t>號協同意見書認為：「</w:t>
      </w:r>
      <w:r w:rsidRPr="00B916E6">
        <w:rPr>
          <w:rFonts w:hAnsi="標楷體" w:hint="eastAsia"/>
          <w:b/>
        </w:rPr>
        <w:t>以行使職權為要件之情形下，若在論證上僅謂此制度係由德國而來，而即將此一要件虛辭化，論證上似欠缺說服力。</w:t>
      </w:r>
      <w:r w:rsidRPr="00B916E6">
        <w:rPr>
          <w:rFonts w:hAnsi="標楷體" w:hint="eastAsia"/>
        </w:rPr>
        <w:t>又我國現行體系上不可能僅對「機關及三分之一立法委員聲請法令（律）違憲解釋」之「行使職權」加以界定，仍應顧慮憲法訴訟各類型間體系的完整性。且若將由立法委員三分之一以上提出之法令違憲訴訟類型解為乃一種客觀程序，並不以聲請人與該違憲法令有關聯性為必要者，行使職權此一要件，則應更為</w:t>
      </w:r>
      <w:r w:rsidRPr="00B916E6">
        <w:rPr>
          <w:rFonts w:hAnsi="標楷體" w:hint="eastAsia"/>
          <w:b/>
        </w:rPr>
        <w:t>「與職權有關，而有請求解釋（闡明）之（重要）公共利益」</w:t>
      </w:r>
      <w:r w:rsidRPr="00B916E6">
        <w:rPr>
          <w:rFonts w:hAnsi="標楷體" w:hint="eastAsia"/>
        </w:rPr>
        <w:t>所補充而解釋適用。如此界定，使此一原本在制度上純屬客觀程序的訴訟類型相對主觀化，乃為配合我國既有現況所為之整體思考等語，其說值得參考。</w:t>
      </w:r>
      <w:r w:rsidRPr="00B916E6">
        <w:rPr>
          <w:rFonts w:hAnsi="標楷體"/>
        </w:rPr>
        <w:t>…</w:t>
      </w:r>
      <w:r w:rsidRPr="00B916E6">
        <w:rPr>
          <w:rFonts w:hAnsi="標楷體" w:hint="eastAsia"/>
        </w:rPr>
        <w:t>. 學者（吳信華）之研究，本院向來就大審法第五條第一項第一款、三款之立法委員三分之一以上聲請釋憲，以未行使職權為由不受理之八類型。其中包含大法官僅以「未行使職權」不受理，而未再予說明闡釋相關內容者，其常見之用語為聲請人於聲請書上「未載明」或「未具體說明（指陳）」其係行使何種職權，發生適用憲法之疑義，或法令有牴觸憲法之疑義，而不受理本案。或在有些聲請案件，大法官認為，該聲請並非係就立法委員現時行使職權之具體事項，適用憲法規定而發生客觀上之疑義，或適用法律發生有牴觸憲法之疑義，而不受理。」等語。似從未於監察院聲請解釋憲法案件中發生，就本件而言亦不包含立委聲請不受理之八類型。</w:t>
      </w:r>
    </w:p>
  </w:footnote>
  <w:footnote w:id="28">
    <w:p w:rsidR="00032BDC" w:rsidRPr="00B916E6" w:rsidRDefault="00032BDC" w:rsidP="004F298E">
      <w:pPr>
        <w:pStyle w:val="afd"/>
        <w:ind w:left="198" w:hanging="198"/>
        <w:rPr>
          <w:rFonts w:hAnsi="標楷體"/>
        </w:rPr>
      </w:pPr>
      <w:r w:rsidRPr="00B916E6">
        <w:rPr>
          <w:rStyle w:val="aff"/>
          <w:rFonts w:hAnsi="標楷體"/>
        </w:rPr>
        <w:footnoteRef/>
      </w:r>
      <w:r w:rsidRPr="00B916E6">
        <w:rPr>
          <w:rFonts w:hAnsi="標楷體" w:hint="eastAsia"/>
        </w:rPr>
        <w:t>楊子慧，憲法訴訟，元照（</w:t>
      </w:r>
      <w:r w:rsidRPr="00B916E6">
        <w:rPr>
          <w:rFonts w:hAnsi="標楷體" w:hint="eastAsia"/>
        </w:rPr>
        <w:t>西元2008.4），頁64-71。</w:t>
      </w:r>
    </w:p>
  </w:footnote>
  <w:footnote w:id="29">
    <w:p w:rsidR="00032BDC" w:rsidRPr="00B916E6" w:rsidRDefault="00032BDC" w:rsidP="004F298E">
      <w:pPr>
        <w:pStyle w:val="afd"/>
        <w:ind w:left="198" w:hanging="198"/>
        <w:rPr>
          <w:rFonts w:hAnsi="標楷體"/>
        </w:rPr>
      </w:pPr>
      <w:r w:rsidRPr="00B916E6">
        <w:rPr>
          <w:rStyle w:val="aff"/>
          <w:rFonts w:hAnsi="標楷體"/>
        </w:rPr>
        <w:footnoteRef/>
      </w:r>
      <w:r w:rsidRPr="00B916E6">
        <w:rPr>
          <w:rFonts w:hAnsi="標楷體" w:hint="eastAsia"/>
        </w:rPr>
        <w:t>楊子慧，憲法訴訟，元照（</w:t>
      </w:r>
      <w:r w:rsidRPr="00B916E6">
        <w:rPr>
          <w:rFonts w:hAnsi="標楷體" w:hint="eastAsia"/>
        </w:rPr>
        <w:t>西元2008.4），頁104。</w:t>
      </w:r>
    </w:p>
  </w:footnote>
  <w:footnote w:id="30">
    <w:p w:rsidR="00032BDC" w:rsidRPr="00B916E6" w:rsidRDefault="00032BDC" w:rsidP="00032BDC">
      <w:pPr>
        <w:pStyle w:val="afd"/>
        <w:ind w:left="264" w:hangingChars="120" w:hanging="264"/>
        <w:rPr>
          <w:rFonts w:hAnsi="標楷體"/>
        </w:rPr>
      </w:pPr>
      <w:r w:rsidRPr="00B916E6">
        <w:rPr>
          <w:rStyle w:val="aff"/>
          <w:rFonts w:hAnsi="標楷體"/>
        </w:rPr>
        <w:footnoteRef/>
      </w:r>
      <w:r w:rsidRPr="00B916E6">
        <w:rPr>
          <w:rFonts w:hAnsi="標楷體"/>
        </w:rPr>
        <w:t xml:space="preserve"> </w:t>
      </w:r>
      <w:r w:rsidRPr="00B916E6">
        <w:rPr>
          <w:rFonts w:hAnsi="標楷體" w:hint="eastAsia"/>
        </w:rPr>
        <w:t>至於監察權到底有無事前權仍有爭議，監察院該如何事前或事後行使，似非其他憲法機關所得置喙。</w:t>
      </w:r>
    </w:p>
  </w:footnote>
  <w:footnote w:id="31">
    <w:p w:rsidR="00032BDC" w:rsidRPr="00B916E6" w:rsidRDefault="00032BDC" w:rsidP="004F298E">
      <w:pPr>
        <w:pStyle w:val="afd"/>
        <w:ind w:left="198" w:hanging="198"/>
        <w:rPr>
          <w:rFonts w:hAnsi="標楷體"/>
        </w:rPr>
      </w:pPr>
      <w:r w:rsidRPr="00B916E6">
        <w:rPr>
          <w:rStyle w:val="aff"/>
          <w:rFonts w:hAnsi="標楷體"/>
        </w:rPr>
        <w:footnoteRef/>
      </w:r>
      <w:r w:rsidRPr="00B916E6">
        <w:rPr>
          <w:rFonts w:hAnsi="標楷體"/>
        </w:rPr>
        <w:t xml:space="preserve"> </w:t>
      </w:r>
      <w:r w:rsidRPr="00B916E6">
        <w:rPr>
          <w:rFonts w:hAnsi="標楷體" w:hint="eastAsia"/>
        </w:rPr>
        <w:t>在我國到底是抗多數決困境，還是反有權力者困境，非無疑義。</w:t>
      </w:r>
    </w:p>
  </w:footnote>
  <w:footnote w:id="32">
    <w:p w:rsidR="00322BA8" w:rsidRPr="00B916E6" w:rsidRDefault="00322BA8" w:rsidP="00F3523A">
      <w:pPr>
        <w:pStyle w:val="afd"/>
        <w:ind w:left="198" w:hanging="198"/>
        <w:jc w:val="both"/>
      </w:pPr>
      <w:r w:rsidRPr="00B916E6">
        <w:rPr>
          <w:rStyle w:val="aff"/>
        </w:rPr>
        <w:footnoteRef/>
      </w:r>
      <w:r w:rsidR="00F3523A" w:rsidRPr="00B916E6">
        <w:rPr>
          <w:rFonts w:hint="eastAsia"/>
        </w:rPr>
        <w:t xml:space="preserve"> </w:t>
      </w:r>
      <w:r w:rsidRPr="00B916E6">
        <w:rPr>
          <w:rFonts w:hint="eastAsia"/>
        </w:rPr>
        <w:t>例如監察院調查「據財團法人民間司法改革基金會陳訴，司法院未秉持憲法保障人民訴訟權之旨，竟任令臺灣高等法院濫用刑事訴訟法第361</w:t>
      </w:r>
      <w:r w:rsidRPr="00B916E6">
        <w:rPr>
          <w:rFonts w:hint="eastAsia"/>
        </w:rPr>
        <w:t>條第2項之規定，以被告上訴未敘述具體理由，裁判駁回，不當剝奪被告上訴權等情」乙案，經司法及獄政委員會通過後，聲請釋憲理由書送請院會審議，遭監察院院會擱置。</w:t>
      </w:r>
    </w:p>
  </w:footnote>
  <w:footnote w:id="33">
    <w:p w:rsidR="00032BDC" w:rsidRPr="00B916E6" w:rsidRDefault="00032BDC" w:rsidP="004F298E">
      <w:pPr>
        <w:pStyle w:val="afd"/>
        <w:ind w:left="198" w:hanging="198"/>
      </w:pPr>
      <w:r w:rsidRPr="00B916E6">
        <w:rPr>
          <w:rStyle w:val="aff"/>
        </w:rPr>
        <w:footnoteRef/>
      </w:r>
      <w:r w:rsidRPr="00B916E6">
        <w:t xml:space="preserve"> </w:t>
      </w:r>
      <w:proofErr w:type="spellStart"/>
      <w:r w:rsidRPr="00B916E6">
        <w:t>Wer</w:t>
      </w:r>
      <w:proofErr w:type="spellEnd"/>
      <w:r w:rsidRPr="00B916E6">
        <w:t xml:space="preserve"> </w:t>
      </w:r>
      <w:proofErr w:type="spellStart"/>
      <w:r w:rsidRPr="00B916E6">
        <w:t>mit</w:t>
      </w:r>
      <w:proofErr w:type="spellEnd"/>
      <w:r w:rsidRPr="00B916E6">
        <w:t xml:space="preserve"> </w:t>
      </w:r>
      <w:proofErr w:type="spellStart"/>
      <w:r w:rsidRPr="00B916E6">
        <w:t>Ungeheuern</w:t>
      </w:r>
      <w:proofErr w:type="spellEnd"/>
      <w:r w:rsidRPr="00B916E6">
        <w:t xml:space="preserve"> </w:t>
      </w:r>
      <w:proofErr w:type="spellStart"/>
      <w:r w:rsidRPr="00B916E6">
        <w:t>k</w:t>
      </w:r>
      <w:r w:rsidRPr="00B916E6">
        <w:t>ä</w:t>
      </w:r>
      <w:r w:rsidRPr="00B916E6">
        <w:t>mpft</w:t>
      </w:r>
      <w:proofErr w:type="spellEnd"/>
      <w:r w:rsidRPr="00B916E6">
        <w:t xml:space="preserve">, mag </w:t>
      </w:r>
      <w:proofErr w:type="spellStart"/>
      <w:r w:rsidRPr="00B916E6">
        <w:t>zusehn</w:t>
      </w:r>
      <w:proofErr w:type="spellEnd"/>
      <w:r w:rsidRPr="00B916E6">
        <w:t xml:space="preserve">, </w:t>
      </w:r>
      <w:proofErr w:type="spellStart"/>
      <w:r w:rsidRPr="00B916E6">
        <w:t>dass</w:t>
      </w:r>
      <w:proofErr w:type="spellEnd"/>
      <w:r w:rsidRPr="00B916E6">
        <w:t xml:space="preserve"> </w:t>
      </w:r>
      <w:proofErr w:type="spellStart"/>
      <w:r w:rsidRPr="00B916E6">
        <w:t>er</w:t>
      </w:r>
      <w:proofErr w:type="spellEnd"/>
      <w:r w:rsidRPr="00B916E6">
        <w:t xml:space="preserve"> </w:t>
      </w:r>
      <w:proofErr w:type="spellStart"/>
      <w:r w:rsidRPr="00B916E6">
        <w:t>nicht</w:t>
      </w:r>
      <w:proofErr w:type="spellEnd"/>
      <w:r w:rsidRPr="00B916E6">
        <w:t xml:space="preserve"> </w:t>
      </w:r>
      <w:proofErr w:type="spellStart"/>
      <w:r w:rsidRPr="00B916E6">
        <w:t>dabei</w:t>
      </w:r>
      <w:proofErr w:type="spellEnd"/>
      <w:r w:rsidRPr="00B916E6">
        <w:t xml:space="preserve"> </w:t>
      </w:r>
      <w:proofErr w:type="spellStart"/>
      <w:r w:rsidRPr="00B916E6">
        <w:t>zum</w:t>
      </w:r>
      <w:proofErr w:type="spellEnd"/>
      <w:r w:rsidRPr="00B916E6">
        <w:t xml:space="preserve"> </w:t>
      </w:r>
      <w:proofErr w:type="spellStart"/>
      <w:r w:rsidRPr="00B916E6">
        <w:t>Ungeheuer</w:t>
      </w:r>
      <w:proofErr w:type="spellEnd"/>
      <w:r w:rsidRPr="00B916E6">
        <w:t xml:space="preserve"> </w:t>
      </w:r>
      <w:proofErr w:type="spellStart"/>
      <w:r w:rsidRPr="00B916E6">
        <w:t>wird</w:t>
      </w:r>
      <w:proofErr w:type="spellEnd"/>
      <w:r w:rsidRPr="00B916E6">
        <w:t xml:space="preserve">. Und </w:t>
      </w:r>
      <w:proofErr w:type="spellStart"/>
      <w:r w:rsidRPr="00B916E6">
        <w:t>wenn</w:t>
      </w:r>
      <w:proofErr w:type="spellEnd"/>
      <w:r w:rsidRPr="00B916E6">
        <w:t xml:space="preserve"> du </w:t>
      </w:r>
      <w:proofErr w:type="spellStart"/>
      <w:r w:rsidRPr="00B916E6">
        <w:t>lange</w:t>
      </w:r>
      <w:proofErr w:type="spellEnd"/>
      <w:r w:rsidRPr="00B916E6">
        <w:t xml:space="preserve"> in </w:t>
      </w:r>
      <w:proofErr w:type="spellStart"/>
      <w:r w:rsidRPr="00B916E6">
        <w:t>einen</w:t>
      </w:r>
      <w:proofErr w:type="spellEnd"/>
      <w:r w:rsidRPr="00B916E6">
        <w:t xml:space="preserve"> </w:t>
      </w:r>
      <w:proofErr w:type="spellStart"/>
      <w:r w:rsidRPr="00B916E6">
        <w:t>Abgrund</w:t>
      </w:r>
      <w:proofErr w:type="spellEnd"/>
      <w:r w:rsidRPr="00B916E6">
        <w:t xml:space="preserve"> </w:t>
      </w:r>
      <w:proofErr w:type="spellStart"/>
      <w:r w:rsidRPr="00B916E6">
        <w:t>blickst</w:t>
      </w:r>
      <w:proofErr w:type="spellEnd"/>
      <w:r w:rsidRPr="00B916E6">
        <w:t xml:space="preserve">, </w:t>
      </w:r>
      <w:proofErr w:type="spellStart"/>
      <w:r w:rsidRPr="00B916E6">
        <w:t>blickt</w:t>
      </w:r>
      <w:proofErr w:type="spellEnd"/>
      <w:r w:rsidRPr="00B916E6">
        <w:t xml:space="preserve"> der </w:t>
      </w:r>
      <w:proofErr w:type="spellStart"/>
      <w:r w:rsidRPr="00B916E6">
        <w:t>Abgrund</w:t>
      </w:r>
      <w:proofErr w:type="spellEnd"/>
      <w:r w:rsidRPr="00B916E6">
        <w:t xml:space="preserve"> </w:t>
      </w:r>
      <w:proofErr w:type="spellStart"/>
      <w:r w:rsidRPr="00B916E6">
        <w:t>auch</w:t>
      </w:r>
      <w:proofErr w:type="spellEnd"/>
      <w:r w:rsidRPr="00B916E6">
        <w:t xml:space="preserve"> in dich </w:t>
      </w:r>
      <w:proofErr w:type="spellStart"/>
      <w:r w:rsidRPr="00B916E6">
        <w:t>hinein</w:t>
      </w:r>
      <w:proofErr w:type="spellEnd"/>
      <w:r w:rsidRPr="00B916E6">
        <w:t>. - "</w:t>
      </w:r>
      <w:proofErr w:type="spellStart"/>
      <w:r w:rsidRPr="00B916E6">
        <w:t>Jenseits</w:t>
      </w:r>
      <w:proofErr w:type="spellEnd"/>
      <w:r w:rsidRPr="00B916E6">
        <w:t xml:space="preserve"> von Gut und </w:t>
      </w:r>
      <w:proofErr w:type="spellStart"/>
      <w:r w:rsidRPr="00B916E6">
        <w:t>B</w:t>
      </w:r>
      <w:r w:rsidRPr="00B916E6">
        <w:t>ö</w:t>
      </w:r>
      <w:r w:rsidRPr="00B916E6">
        <w:t>se</w:t>
      </w:r>
      <w:proofErr w:type="spellEnd"/>
      <w:r w:rsidRPr="00B916E6">
        <w:t>"</w:t>
      </w:r>
      <w:r w:rsidRPr="00B916E6">
        <w:rPr>
          <w:rFonts w:hint="eastAsia"/>
        </w:rPr>
        <w:t>《善惡的彼岸》-格言第146，</w:t>
      </w:r>
      <w:r w:rsidR="00B80A1A" w:rsidRPr="00B916E6">
        <w:rPr>
          <w:rFonts w:hint="eastAsia"/>
        </w:rPr>
        <w:t>西元</w:t>
      </w:r>
      <w:r w:rsidRPr="00B916E6">
        <w:rPr>
          <w:rFonts w:hint="eastAsia"/>
        </w:rPr>
        <w:t>1886年</w:t>
      </w:r>
      <w:r w:rsidR="00B80A1A" w:rsidRPr="00B916E6">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3FEA3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85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E81"/>
    <w:rsid w:val="00002C93"/>
    <w:rsid w:val="00006961"/>
    <w:rsid w:val="000112BF"/>
    <w:rsid w:val="00011CE5"/>
    <w:rsid w:val="00012233"/>
    <w:rsid w:val="00017318"/>
    <w:rsid w:val="00021CF2"/>
    <w:rsid w:val="000222F0"/>
    <w:rsid w:val="00022929"/>
    <w:rsid w:val="00024605"/>
    <w:rsid w:val="000246F7"/>
    <w:rsid w:val="0003114D"/>
    <w:rsid w:val="00032BDC"/>
    <w:rsid w:val="00036D76"/>
    <w:rsid w:val="00036FFC"/>
    <w:rsid w:val="00037F82"/>
    <w:rsid w:val="0004289F"/>
    <w:rsid w:val="00047B80"/>
    <w:rsid w:val="00050A13"/>
    <w:rsid w:val="000567C9"/>
    <w:rsid w:val="00057F32"/>
    <w:rsid w:val="00062A25"/>
    <w:rsid w:val="000657BA"/>
    <w:rsid w:val="000719A9"/>
    <w:rsid w:val="000730D9"/>
    <w:rsid w:val="00073CB5"/>
    <w:rsid w:val="0007425C"/>
    <w:rsid w:val="00074DDD"/>
    <w:rsid w:val="00077553"/>
    <w:rsid w:val="000851A2"/>
    <w:rsid w:val="0008645C"/>
    <w:rsid w:val="00092F56"/>
    <w:rsid w:val="0009352E"/>
    <w:rsid w:val="00096B96"/>
    <w:rsid w:val="000A0135"/>
    <w:rsid w:val="000A0BBB"/>
    <w:rsid w:val="000A0D60"/>
    <w:rsid w:val="000A2F3F"/>
    <w:rsid w:val="000B0943"/>
    <w:rsid w:val="000B0B4A"/>
    <w:rsid w:val="000B279A"/>
    <w:rsid w:val="000B61D2"/>
    <w:rsid w:val="000B70A7"/>
    <w:rsid w:val="000B73DD"/>
    <w:rsid w:val="000C4219"/>
    <w:rsid w:val="000C47AA"/>
    <w:rsid w:val="000C495F"/>
    <w:rsid w:val="000C67C4"/>
    <w:rsid w:val="000D2A39"/>
    <w:rsid w:val="000D35DE"/>
    <w:rsid w:val="000D44CA"/>
    <w:rsid w:val="000E0BD1"/>
    <w:rsid w:val="000E4617"/>
    <w:rsid w:val="000E4B0B"/>
    <w:rsid w:val="000E4E03"/>
    <w:rsid w:val="000E6431"/>
    <w:rsid w:val="000F1D2E"/>
    <w:rsid w:val="000F21A5"/>
    <w:rsid w:val="000F21D3"/>
    <w:rsid w:val="000F688E"/>
    <w:rsid w:val="00102B9F"/>
    <w:rsid w:val="00105898"/>
    <w:rsid w:val="00107BE3"/>
    <w:rsid w:val="00112637"/>
    <w:rsid w:val="00112ABC"/>
    <w:rsid w:val="0011358F"/>
    <w:rsid w:val="001172D8"/>
    <w:rsid w:val="0012001E"/>
    <w:rsid w:val="0012364E"/>
    <w:rsid w:val="00124268"/>
    <w:rsid w:val="00124E15"/>
    <w:rsid w:val="00125847"/>
    <w:rsid w:val="00126A55"/>
    <w:rsid w:val="001273BE"/>
    <w:rsid w:val="00133F08"/>
    <w:rsid w:val="001345E6"/>
    <w:rsid w:val="00134A0E"/>
    <w:rsid w:val="001378B0"/>
    <w:rsid w:val="0014284D"/>
    <w:rsid w:val="00142E00"/>
    <w:rsid w:val="0014331C"/>
    <w:rsid w:val="00143E33"/>
    <w:rsid w:val="001440E9"/>
    <w:rsid w:val="00152793"/>
    <w:rsid w:val="00152A53"/>
    <w:rsid w:val="00152ABD"/>
    <w:rsid w:val="00153B7E"/>
    <w:rsid w:val="001545A9"/>
    <w:rsid w:val="00155B21"/>
    <w:rsid w:val="001637C7"/>
    <w:rsid w:val="0016480E"/>
    <w:rsid w:val="00172614"/>
    <w:rsid w:val="00174297"/>
    <w:rsid w:val="00180E06"/>
    <w:rsid w:val="001817B3"/>
    <w:rsid w:val="00183014"/>
    <w:rsid w:val="00185C4D"/>
    <w:rsid w:val="00186E78"/>
    <w:rsid w:val="001937A5"/>
    <w:rsid w:val="001959C2"/>
    <w:rsid w:val="001964BD"/>
    <w:rsid w:val="00196966"/>
    <w:rsid w:val="001A0AEA"/>
    <w:rsid w:val="001A51E3"/>
    <w:rsid w:val="001A5C3E"/>
    <w:rsid w:val="001A5C77"/>
    <w:rsid w:val="001A7968"/>
    <w:rsid w:val="001B2E98"/>
    <w:rsid w:val="001B3483"/>
    <w:rsid w:val="001B3C1E"/>
    <w:rsid w:val="001B4494"/>
    <w:rsid w:val="001C0D8B"/>
    <w:rsid w:val="001C0DA8"/>
    <w:rsid w:val="001C0E9A"/>
    <w:rsid w:val="001D48E0"/>
    <w:rsid w:val="001D4AD7"/>
    <w:rsid w:val="001D7610"/>
    <w:rsid w:val="001E0D8A"/>
    <w:rsid w:val="001E1082"/>
    <w:rsid w:val="001E67BA"/>
    <w:rsid w:val="001E74C2"/>
    <w:rsid w:val="001F2157"/>
    <w:rsid w:val="001F4F82"/>
    <w:rsid w:val="001F5A48"/>
    <w:rsid w:val="001F6260"/>
    <w:rsid w:val="001F6A82"/>
    <w:rsid w:val="001F6C88"/>
    <w:rsid w:val="00200007"/>
    <w:rsid w:val="0020166F"/>
    <w:rsid w:val="002030A5"/>
    <w:rsid w:val="00203131"/>
    <w:rsid w:val="00212E88"/>
    <w:rsid w:val="00213217"/>
    <w:rsid w:val="00213C9C"/>
    <w:rsid w:val="0021468E"/>
    <w:rsid w:val="0022009E"/>
    <w:rsid w:val="002206FD"/>
    <w:rsid w:val="00223241"/>
    <w:rsid w:val="002240D6"/>
    <w:rsid w:val="0022425C"/>
    <w:rsid w:val="002246DE"/>
    <w:rsid w:val="00225F9A"/>
    <w:rsid w:val="0022756F"/>
    <w:rsid w:val="00227CC8"/>
    <w:rsid w:val="00227ED9"/>
    <w:rsid w:val="0023708E"/>
    <w:rsid w:val="002452C3"/>
    <w:rsid w:val="00246B23"/>
    <w:rsid w:val="00250CCA"/>
    <w:rsid w:val="0025161E"/>
    <w:rsid w:val="00251659"/>
    <w:rsid w:val="002518BF"/>
    <w:rsid w:val="00251E22"/>
    <w:rsid w:val="00252BC4"/>
    <w:rsid w:val="00252DD5"/>
    <w:rsid w:val="00254014"/>
    <w:rsid w:val="00254B39"/>
    <w:rsid w:val="002550ED"/>
    <w:rsid w:val="00262C5F"/>
    <w:rsid w:val="00264CD5"/>
    <w:rsid w:val="0026504D"/>
    <w:rsid w:val="002668EB"/>
    <w:rsid w:val="00273A2F"/>
    <w:rsid w:val="00274A55"/>
    <w:rsid w:val="00280986"/>
    <w:rsid w:val="00280AE3"/>
    <w:rsid w:val="00281ECE"/>
    <w:rsid w:val="002831C7"/>
    <w:rsid w:val="002840C6"/>
    <w:rsid w:val="00286A45"/>
    <w:rsid w:val="00295174"/>
    <w:rsid w:val="00296172"/>
    <w:rsid w:val="002964B6"/>
    <w:rsid w:val="00296B92"/>
    <w:rsid w:val="002A2C22"/>
    <w:rsid w:val="002A3B0D"/>
    <w:rsid w:val="002A5C16"/>
    <w:rsid w:val="002A712C"/>
    <w:rsid w:val="002B0180"/>
    <w:rsid w:val="002B02EB"/>
    <w:rsid w:val="002B1932"/>
    <w:rsid w:val="002C0602"/>
    <w:rsid w:val="002C41F0"/>
    <w:rsid w:val="002C4CAE"/>
    <w:rsid w:val="002C584C"/>
    <w:rsid w:val="002D1529"/>
    <w:rsid w:val="002D2C4F"/>
    <w:rsid w:val="002D3785"/>
    <w:rsid w:val="002D4840"/>
    <w:rsid w:val="002D5C16"/>
    <w:rsid w:val="002E1335"/>
    <w:rsid w:val="002E246A"/>
    <w:rsid w:val="002E2B62"/>
    <w:rsid w:val="002E6B8C"/>
    <w:rsid w:val="002E6FB4"/>
    <w:rsid w:val="002F228A"/>
    <w:rsid w:val="002F2476"/>
    <w:rsid w:val="002F3203"/>
    <w:rsid w:val="002F3DFF"/>
    <w:rsid w:val="002F5E05"/>
    <w:rsid w:val="00302810"/>
    <w:rsid w:val="00305435"/>
    <w:rsid w:val="00306578"/>
    <w:rsid w:val="00307A76"/>
    <w:rsid w:val="00310755"/>
    <w:rsid w:val="00315A16"/>
    <w:rsid w:val="0031669A"/>
    <w:rsid w:val="00317053"/>
    <w:rsid w:val="0032109C"/>
    <w:rsid w:val="00322B45"/>
    <w:rsid w:val="00322BA8"/>
    <w:rsid w:val="00323809"/>
    <w:rsid w:val="00323D41"/>
    <w:rsid w:val="00325414"/>
    <w:rsid w:val="00327976"/>
    <w:rsid w:val="003302F1"/>
    <w:rsid w:val="00331BF9"/>
    <w:rsid w:val="003344B2"/>
    <w:rsid w:val="00341940"/>
    <w:rsid w:val="0034470E"/>
    <w:rsid w:val="00345DFB"/>
    <w:rsid w:val="00352B59"/>
    <w:rsid w:val="00352DB0"/>
    <w:rsid w:val="00353D25"/>
    <w:rsid w:val="0035422F"/>
    <w:rsid w:val="003561A1"/>
    <w:rsid w:val="0036020F"/>
    <w:rsid w:val="00361063"/>
    <w:rsid w:val="00367FAD"/>
    <w:rsid w:val="0037094A"/>
    <w:rsid w:val="00370C1B"/>
    <w:rsid w:val="00371BC5"/>
    <w:rsid w:val="00371ED3"/>
    <w:rsid w:val="00372777"/>
    <w:rsid w:val="00372FFC"/>
    <w:rsid w:val="0037417B"/>
    <w:rsid w:val="003746A3"/>
    <w:rsid w:val="0037728A"/>
    <w:rsid w:val="00380B7D"/>
    <w:rsid w:val="00381A99"/>
    <w:rsid w:val="00382231"/>
    <w:rsid w:val="00382337"/>
    <w:rsid w:val="003829C2"/>
    <w:rsid w:val="00382FF4"/>
    <w:rsid w:val="003830B2"/>
    <w:rsid w:val="00383294"/>
    <w:rsid w:val="00384724"/>
    <w:rsid w:val="003858F4"/>
    <w:rsid w:val="003919B7"/>
    <w:rsid w:val="00391D57"/>
    <w:rsid w:val="00392292"/>
    <w:rsid w:val="00393F86"/>
    <w:rsid w:val="00394F45"/>
    <w:rsid w:val="00396272"/>
    <w:rsid w:val="00397142"/>
    <w:rsid w:val="003A30F9"/>
    <w:rsid w:val="003A5927"/>
    <w:rsid w:val="003B085D"/>
    <w:rsid w:val="003B1017"/>
    <w:rsid w:val="003B3C07"/>
    <w:rsid w:val="003B6081"/>
    <w:rsid w:val="003B6775"/>
    <w:rsid w:val="003B77F3"/>
    <w:rsid w:val="003C3A1B"/>
    <w:rsid w:val="003C3FB4"/>
    <w:rsid w:val="003C4CF7"/>
    <w:rsid w:val="003C4E00"/>
    <w:rsid w:val="003C5E34"/>
    <w:rsid w:val="003C5FE2"/>
    <w:rsid w:val="003D05FB"/>
    <w:rsid w:val="003D1B16"/>
    <w:rsid w:val="003D4057"/>
    <w:rsid w:val="003D45BF"/>
    <w:rsid w:val="003D508A"/>
    <w:rsid w:val="003D537F"/>
    <w:rsid w:val="003D7B75"/>
    <w:rsid w:val="003E0208"/>
    <w:rsid w:val="003E1274"/>
    <w:rsid w:val="003E4B57"/>
    <w:rsid w:val="003E68B8"/>
    <w:rsid w:val="003F244D"/>
    <w:rsid w:val="003F27E1"/>
    <w:rsid w:val="003F437A"/>
    <w:rsid w:val="003F5C2B"/>
    <w:rsid w:val="00401D74"/>
    <w:rsid w:val="00402240"/>
    <w:rsid w:val="004023E9"/>
    <w:rsid w:val="004027D3"/>
    <w:rsid w:val="004038B4"/>
    <w:rsid w:val="0040454A"/>
    <w:rsid w:val="0040511D"/>
    <w:rsid w:val="004072CD"/>
    <w:rsid w:val="0041000A"/>
    <w:rsid w:val="00410BD6"/>
    <w:rsid w:val="00411F3E"/>
    <w:rsid w:val="00412F7C"/>
    <w:rsid w:val="00413F83"/>
    <w:rsid w:val="0041490C"/>
    <w:rsid w:val="00416191"/>
    <w:rsid w:val="00416721"/>
    <w:rsid w:val="00421EF0"/>
    <w:rsid w:val="004224FA"/>
    <w:rsid w:val="00423D07"/>
    <w:rsid w:val="00424926"/>
    <w:rsid w:val="00427936"/>
    <w:rsid w:val="004325BA"/>
    <w:rsid w:val="0044346F"/>
    <w:rsid w:val="00451284"/>
    <w:rsid w:val="00452F03"/>
    <w:rsid w:val="00453FF6"/>
    <w:rsid w:val="0045688B"/>
    <w:rsid w:val="00461662"/>
    <w:rsid w:val="004617CC"/>
    <w:rsid w:val="004621FC"/>
    <w:rsid w:val="00463428"/>
    <w:rsid w:val="0046520A"/>
    <w:rsid w:val="004672AB"/>
    <w:rsid w:val="004702F0"/>
    <w:rsid w:val="00470FBF"/>
    <w:rsid w:val="004714FE"/>
    <w:rsid w:val="00477BAA"/>
    <w:rsid w:val="004814DB"/>
    <w:rsid w:val="00486E47"/>
    <w:rsid w:val="004907B2"/>
    <w:rsid w:val="00490CF5"/>
    <w:rsid w:val="0049299A"/>
    <w:rsid w:val="00495053"/>
    <w:rsid w:val="004954FD"/>
    <w:rsid w:val="004962E3"/>
    <w:rsid w:val="004A0D5D"/>
    <w:rsid w:val="004A1F59"/>
    <w:rsid w:val="004A29BE"/>
    <w:rsid w:val="004A3225"/>
    <w:rsid w:val="004A33EE"/>
    <w:rsid w:val="004A3AA8"/>
    <w:rsid w:val="004A68C3"/>
    <w:rsid w:val="004B019E"/>
    <w:rsid w:val="004B13C7"/>
    <w:rsid w:val="004B778F"/>
    <w:rsid w:val="004B7CC2"/>
    <w:rsid w:val="004C0609"/>
    <w:rsid w:val="004C1065"/>
    <w:rsid w:val="004C1228"/>
    <w:rsid w:val="004C29BB"/>
    <w:rsid w:val="004C4C9B"/>
    <w:rsid w:val="004C5B79"/>
    <w:rsid w:val="004D141F"/>
    <w:rsid w:val="004D1D5B"/>
    <w:rsid w:val="004D1F90"/>
    <w:rsid w:val="004D2742"/>
    <w:rsid w:val="004D3BFF"/>
    <w:rsid w:val="004D4788"/>
    <w:rsid w:val="004D6310"/>
    <w:rsid w:val="004E0062"/>
    <w:rsid w:val="004E05A1"/>
    <w:rsid w:val="004E4EC5"/>
    <w:rsid w:val="004F298E"/>
    <w:rsid w:val="004F472A"/>
    <w:rsid w:val="004F5E57"/>
    <w:rsid w:val="004F6710"/>
    <w:rsid w:val="00500791"/>
    <w:rsid w:val="00500C3E"/>
    <w:rsid w:val="00501F19"/>
    <w:rsid w:val="00502849"/>
    <w:rsid w:val="00503E60"/>
    <w:rsid w:val="00504334"/>
    <w:rsid w:val="0050498D"/>
    <w:rsid w:val="005104D7"/>
    <w:rsid w:val="00510B9E"/>
    <w:rsid w:val="0051621C"/>
    <w:rsid w:val="00522C49"/>
    <w:rsid w:val="00524DF6"/>
    <w:rsid w:val="00536BC2"/>
    <w:rsid w:val="00540F40"/>
    <w:rsid w:val="005418A2"/>
    <w:rsid w:val="005425E1"/>
    <w:rsid w:val="005427C5"/>
    <w:rsid w:val="00542CF6"/>
    <w:rsid w:val="00544583"/>
    <w:rsid w:val="00545059"/>
    <w:rsid w:val="00550A20"/>
    <w:rsid w:val="00553C03"/>
    <w:rsid w:val="005544B0"/>
    <w:rsid w:val="00560CFA"/>
    <w:rsid w:val="00563692"/>
    <w:rsid w:val="00570756"/>
    <w:rsid w:val="00571679"/>
    <w:rsid w:val="00577037"/>
    <w:rsid w:val="00582143"/>
    <w:rsid w:val="005832B4"/>
    <w:rsid w:val="005844E7"/>
    <w:rsid w:val="00587A40"/>
    <w:rsid w:val="005908B8"/>
    <w:rsid w:val="0059512E"/>
    <w:rsid w:val="005A5FD6"/>
    <w:rsid w:val="005A67A1"/>
    <w:rsid w:val="005A6DD2"/>
    <w:rsid w:val="005B229B"/>
    <w:rsid w:val="005C385D"/>
    <w:rsid w:val="005C3E7C"/>
    <w:rsid w:val="005C4036"/>
    <w:rsid w:val="005C7038"/>
    <w:rsid w:val="005D3B20"/>
    <w:rsid w:val="005D59C5"/>
    <w:rsid w:val="005E0DA5"/>
    <w:rsid w:val="005E3675"/>
    <w:rsid w:val="005E4759"/>
    <w:rsid w:val="005E5C68"/>
    <w:rsid w:val="005E65C0"/>
    <w:rsid w:val="005E7170"/>
    <w:rsid w:val="005E7AFA"/>
    <w:rsid w:val="005F0390"/>
    <w:rsid w:val="005F14F9"/>
    <w:rsid w:val="005F288A"/>
    <w:rsid w:val="005F3F91"/>
    <w:rsid w:val="005F6144"/>
    <w:rsid w:val="00600066"/>
    <w:rsid w:val="00601E7F"/>
    <w:rsid w:val="006040CC"/>
    <w:rsid w:val="006072CD"/>
    <w:rsid w:val="0060745A"/>
    <w:rsid w:val="00610180"/>
    <w:rsid w:val="006109C2"/>
    <w:rsid w:val="00612023"/>
    <w:rsid w:val="00614190"/>
    <w:rsid w:val="00615C0D"/>
    <w:rsid w:val="00616230"/>
    <w:rsid w:val="00622A99"/>
    <w:rsid w:val="00622E67"/>
    <w:rsid w:val="00626B57"/>
    <w:rsid w:val="00626EDC"/>
    <w:rsid w:val="00630360"/>
    <w:rsid w:val="006326E0"/>
    <w:rsid w:val="00634538"/>
    <w:rsid w:val="006346C9"/>
    <w:rsid w:val="006359D5"/>
    <w:rsid w:val="006362AA"/>
    <w:rsid w:val="00641A3A"/>
    <w:rsid w:val="006470EC"/>
    <w:rsid w:val="006542D6"/>
    <w:rsid w:val="00654CAC"/>
    <w:rsid w:val="006556B8"/>
    <w:rsid w:val="0065598E"/>
    <w:rsid w:val="00655AF2"/>
    <w:rsid w:val="00655BC5"/>
    <w:rsid w:val="00656275"/>
    <w:rsid w:val="006568BE"/>
    <w:rsid w:val="0066025D"/>
    <w:rsid w:val="0066091A"/>
    <w:rsid w:val="0066223D"/>
    <w:rsid w:val="00662852"/>
    <w:rsid w:val="00665442"/>
    <w:rsid w:val="00666557"/>
    <w:rsid w:val="0067109A"/>
    <w:rsid w:val="006773EC"/>
    <w:rsid w:val="00680504"/>
    <w:rsid w:val="006818A6"/>
    <w:rsid w:val="00681CD9"/>
    <w:rsid w:val="00683E30"/>
    <w:rsid w:val="00684EAD"/>
    <w:rsid w:val="00686BC9"/>
    <w:rsid w:val="00687024"/>
    <w:rsid w:val="0069513F"/>
    <w:rsid w:val="00695E22"/>
    <w:rsid w:val="006A1E18"/>
    <w:rsid w:val="006A5742"/>
    <w:rsid w:val="006A5977"/>
    <w:rsid w:val="006B0772"/>
    <w:rsid w:val="006B0AB2"/>
    <w:rsid w:val="006B138F"/>
    <w:rsid w:val="006B5C46"/>
    <w:rsid w:val="006B7093"/>
    <w:rsid w:val="006B7417"/>
    <w:rsid w:val="006C1DC9"/>
    <w:rsid w:val="006D0BE8"/>
    <w:rsid w:val="006D2FFE"/>
    <w:rsid w:val="006D3691"/>
    <w:rsid w:val="006D612A"/>
    <w:rsid w:val="006D6D5E"/>
    <w:rsid w:val="006E16C8"/>
    <w:rsid w:val="006E1927"/>
    <w:rsid w:val="006E2409"/>
    <w:rsid w:val="006E2808"/>
    <w:rsid w:val="006E4065"/>
    <w:rsid w:val="006E5303"/>
    <w:rsid w:val="006E5EF0"/>
    <w:rsid w:val="006F3563"/>
    <w:rsid w:val="006F423A"/>
    <w:rsid w:val="006F42B9"/>
    <w:rsid w:val="006F6103"/>
    <w:rsid w:val="00704E00"/>
    <w:rsid w:val="00714091"/>
    <w:rsid w:val="0071520A"/>
    <w:rsid w:val="007154DE"/>
    <w:rsid w:val="0071610B"/>
    <w:rsid w:val="007209E7"/>
    <w:rsid w:val="00721CD2"/>
    <w:rsid w:val="00726182"/>
    <w:rsid w:val="00727635"/>
    <w:rsid w:val="00732329"/>
    <w:rsid w:val="00732D4C"/>
    <w:rsid w:val="007337CA"/>
    <w:rsid w:val="007340FE"/>
    <w:rsid w:val="00734CE4"/>
    <w:rsid w:val="00735123"/>
    <w:rsid w:val="00741837"/>
    <w:rsid w:val="007453E6"/>
    <w:rsid w:val="00745DE8"/>
    <w:rsid w:val="00755C16"/>
    <w:rsid w:val="007568D4"/>
    <w:rsid w:val="00765119"/>
    <w:rsid w:val="00770E5D"/>
    <w:rsid w:val="0077309D"/>
    <w:rsid w:val="00773DA1"/>
    <w:rsid w:val="00774C76"/>
    <w:rsid w:val="00775293"/>
    <w:rsid w:val="00776B76"/>
    <w:rsid w:val="007774EE"/>
    <w:rsid w:val="00781822"/>
    <w:rsid w:val="00783F21"/>
    <w:rsid w:val="00784119"/>
    <w:rsid w:val="00787159"/>
    <w:rsid w:val="007875E8"/>
    <w:rsid w:val="0079043A"/>
    <w:rsid w:val="00791668"/>
    <w:rsid w:val="00791AA1"/>
    <w:rsid w:val="00793A6A"/>
    <w:rsid w:val="007950B7"/>
    <w:rsid w:val="00795571"/>
    <w:rsid w:val="007A3793"/>
    <w:rsid w:val="007A4762"/>
    <w:rsid w:val="007A662F"/>
    <w:rsid w:val="007A7314"/>
    <w:rsid w:val="007B3C02"/>
    <w:rsid w:val="007B5905"/>
    <w:rsid w:val="007B7B43"/>
    <w:rsid w:val="007C1BA2"/>
    <w:rsid w:val="007C2B48"/>
    <w:rsid w:val="007C32EA"/>
    <w:rsid w:val="007C464C"/>
    <w:rsid w:val="007D05D6"/>
    <w:rsid w:val="007D20E9"/>
    <w:rsid w:val="007D2981"/>
    <w:rsid w:val="007D7881"/>
    <w:rsid w:val="007D7E3A"/>
    <w:rsid w:val="007E0E10"/>
    <w:rsid w:val="007E1DBA"/>
    <w:rsid w:val="007E4768"/>
    <w:rsid w:val="007E5546"/>
    <w:rsid w:val="007E5A50"/>
    <w:rsid w:val="007E5F58"/>
    <w:rsid w:val="007E777B"/>
    <w:rsid w:val="007F2070"/>
    <w:rsid w:val="007F2721"/>
    <w:rsid w:val="007F356A"/>
    <w:rsid w:val="007F5BAA"/>
    <w:rsid w:val="007F63C1"/>
    <w:rsid w:val="0080111F"/>
    <w:rsid w:val="00801FBE"/>
    <w:rsid w:val="008052E3"/>
    <w:rsid w:val="008053F5"/>
    <w:rsid w:val="00807AF7"/>
    <w:rsid w:val="00810198"/>
    <w:rsid w:val="00812751"/>
    <w:rsid w:val="008146E2"/>
    <w:rsid w:val="00815B51"/>
    <w:rsid w:val="00815DA8"/>
    <w:rsid w:val="00817244"/>
    <w:rsid w:val="0082194D"/>
    <w:rsid w:val="008221F9"/>
    <w:rsid w:val="00826EF5"/>
    <w:rsid w:val="00830195"/>
    <w:rsid w:val="00830C99"/>
    <w:rsid w:val="00831693"/>
    <w:rsid w:val="00832816"/>
    <w:rsid w:val="00832B54"/>
    <w:rsid w:val="00833D61"/>
    <w:rsid w:val="00834832"/>
    <w:rsid w:val="00834BDA"/>
    <w:rsid w:val="00840104"/>
    <w:rsid w:val="00840C1F"/>
    <w:rsid w:val="008411C9"/>
    <w:rsid w:val="00841FC5"/>
    <w:rsid w:val="00845709"/>
    <w:rsid w:val="00850188"/>
    <w:rsid w:val="00854B80"/>
    <w:rsid w:val="008576BD"/>
    <w:rsid w:val="00860463"/>
    <w:rsid w:val="00860620"/>
    <w:rsid w:val="00862040"/>
    <w:rsid w:val="008631B2"/>
    <w:rsid w:val="00865AF6"/>
    <w:rsid w:val="00872979"/>
    <w:rsid w:val="008733DA"/>
    <w:rsid w:val="0087345F"/>
    <w:rsid w:val="008829C2"/>
    <w:rsid w:val="00882A78"/>
    <w:rsid w:val="008849F1"/>
    <w:rsid w:val="008850E4"/>
    <w:rsid w:val="00886FDD"/>
    <w:rsid w:val="008939AB"/>
    <w:rsid w:val="00893BB1"/>
    <w:rsid w:val="00895173"/>
    <w:rsid w:val="00895D8D"/>
    <w:rsid w:val="008A02DB"/>
    <w:rsid w:val="008A077C"/>
    <w:rsid w:val="008A0DD5"/>
    <w:rsid w:val="008A12F5"/>
    <w:rsid w:val="008A2489"/>
    <w:rsid w:val="008A52DF"/>
    <w:rsid w:val="008A5BA2"/>
    <w:rsid w:val="008A7AFB"/>
    <w:rsid w:val="008B1587"/>
    <w:rsid w:val="008B1B01"/>
    <w:rsid w:val="008B3BCD"/>
    <w:rsid w:val="008B6DF8"/>
    <w:rsid w:val="008C106C"/>
    <w:rsid w:val="008C10F1"/>
    <w:rsid w:val="008C168C"/>
    <w:rsid w:val="008C1926"/>
    <w:rsid w:val="008C1E99"/>
    <w:rsid w:val="008D3CEB"/>
    <w:rsid w:val="008D58DF"/>
    <w:rsid w:val="008E0085"/>
    <w:rsid w:val="008E285F"/>
    <w:rsid w:val="008E2AA6"/>
    <w:rsid w:val="008E311B"/>
    <w:rsid w:val="008E4BB4"/>
    <w:rsid w:val="008E7373"/>
    <w:rsid w:val="008E7941"/>
    <w:rsid w:val="008F46E7"/>
    <w:rsid w:val="008F6823"/>
    <w:rsid w:val="008F6F0B"/>
    <w:rsid w:val="0090717F"/>
    <w:rsid w:val="00907BA7"/>
    <w:rsid w:val="0091064E"/>
    <w:rsid w:val="00911FC5"/>
    <w:rsid w:val="00914393"/>
    <w:rsid w:val="00917539"/>
    <w:rsid w:val="00923709"/>
    <w:rsid w:val="0092644D"/>
    <w:rsid w:val="00927718"/>
    <w:rsid w:val="00931A10"/>
    <w:rsid w:val="00935002"/>
    <w:rsid w:val="009357BA"/>
    <w:rsid w:val="00941EDB"/>
    <w:rsid w:val="009466BA"/>
    <w:rsid w:val="00947967"/>
    <w:rsid w:val="00955201"/>
    <w:rsid w:val="009566D4"/>
    <w:rsid w:val="00962DF0"/>
    <w:rsid w:val="00965200"/>
    <w:rsid w:val="00965C43"/>
    <w:rsid w:val="009668B3"/>
    <w:rsid w:val="009673D2"/>
    <w:rsid w:val="00971471"/>
    <w:rsid w:val="00972C94"/>
    <w:rsid w:val="00975369"/>
    <w:rsid w:val="00975805"/>
    <w:rsid w:val="00975CBC"/>
    <w:rsid w:val="009766C0"/>
    <w:rsid w:val="009849C2"/>
    <w:rsid w:val="00984D24"/>
    <w:rsid w:val="009858EB"/>
    <w:rsid w:val="009938C9"/>
    <w:rsid w:val="00994554"/>
    <w:rsid w:val="00996A32"/>
    <w:rsid w:val="009A3F47"/>
    <w:rsid w:val="009A5AA5"/>
    <w:rsid w:val="009A742B"/>
    <w:rsid w:val="009B0046"/>
    <w:rsid w:val="009B414A"/>
    <w:rsid w:val="009B660A"/>
    <w:rsid w:val="009C1440"/>
    <w:rsid w:val="009C2107"/>
    <w:rsid w:val="009C465E"/>
    <w:rsid w:val="009C5D9E"/>
    <w:rsid w:val="009D103A"/>
    <w:rsid w:val="009D24BB"/>
    <w:rsid w:val="009D2C3E"/>
    <w:rsid w:val="009D2F7A"/>
    <w:rsid w:val="009D4561"/>
    <w:rsid w:val="009D57B2"/>
    <w:rsid w:val="009D5E5E"/>
    <w:rsid w:val="009D6DC7"/>
    <w:rsid w:val="009E0625"/>
    <w:rsid w:val="009E3034"/>
    <w:rsid w:val="009E549F"/>
    <w:rsid w:val="009E5587"/>
    <w:rsid w:val="009E773E"/>
    <w:rsid w:val="009E7F1D"/>
    <w:rsid w:val="009F28A8"/>
    <w:rsid w:val="009F2DC4"/>
    <w:rsid w:val="009F473E"/>
    <w:rsid w:val="009F682A"/>
    <w:rsid w:val="00A01038"/>
    <w:rsid w:val="00A022BE"/>
    <w:rsid w:val="00A0655B"/>
    <w:rsid w:val="00A07B4B"/>
    <w:rsid w:val="00A104EE"/>
    <w:rsid w:val="00A11CD7"/>
    <w:rsid w:val="00A22C29"/>
    <w:rsid w:val="00A24C95"/>
    <w:rsid w:val="00A2599A"/>
    <w:rsid w:val="00A26094"/>
    <w:rsid w:val="00A301BF"/>
    <w:rsid w:val="00A302B2"/>
    <w:rsid w:val="00A327C1"/>
    <w:rsid w:val="00A331B4"/>
    <w:rsid w:val="00A3484E"/>
    <w:rsid w:val="00A356D3"/>
    <w:rsid w:val="00A36ADA"/>
    <w:rsid w:val="00A377D2"/>
    <w:rsid w:val="00A41E6A"/>
    <w:rsid w:val="00A4346A"/>
    <w:rsid w:val="00A438D8"/>
    <w:rsid w:val="00A446AB"/>
    <w:rsid w:val="00A44A81"/>
    <w:rsid w:val="00A459A9"/>
    <w:rsid w:val="00A4605C"/>
    <w:rsid w:val="00A473F5"/>
    <w:rsid w:val="00A47E47"/>
    <w:rsid w:val="00A51F9D"/>
    <w:rsid w:val="00A538B9"/>
    <w:rsid w:val="00A5416A"/>
    <w:rsid w:val="00A5727D"/>
    <w:rsid w:val="00A639F4"/>
    <w:rsid w:val="00A6451B"/>
    <w:rsid w:val="00A655E4"/>
    <w:rsid w:val="00A73D1C"/>
    <w:rsid w:val="00A77FAC"/>
    <w:rsid w:val="00A81A32"/>
    <w:rsid w:val="00A83065"/>
    <w:rsid w:val="00A8337F"/>
    <w:rsid w:val="00A835BD"/>
    <w:rsid w:val="00A94D1C"/>
    <w:rsid w:val="00A95FA9"/>
    <w:rsid w:val="00A973A2"/>
    <w:rsid w:val="00A97B15"/>
    <w:rsid w:val="00AA0CB7"/>
    <w:rsid w:val="00AA3CCC"/>
    <w:rsid w:val="00AA42D5"/>
    <w:rsid w:val="00AB2FAB"/>
    <w:rsid w:val="00AB33FA"/>
    <w:rsid w:val="00AB4A82"/>
    <w:rsid w:val="00AB4D4D"/>
    <w:rsid w:val="00AB5C14"/>
    <w:rsid w:val="00AC1EE7"/>
    <w:rsid w:val="00AC2206"/>
    <w:rsid w:val="00AC333F"/>
    <w:rsid w:val="00AC41C0"/>
    <w:rsid w:val="00AC585C"/>
    <w:rsid w:val="00AC5E53"/>
    <w:rsid w:val="00AC79AE"/>
    <w:rsid w:val="00AC7F76"/>
    <w:rsid w:val="00AD1168"/>
    <w:rsid w:val="00AD1925"/>
    <w:rsid w:val="00AE067D"/>
    <w:rsid w:val="00AE1006"/>
    <w:rsid w:val="00AE219E"/>
    <w:rsid w:val="00AE3256"/>
    <w:rsid w:val="00AE36CE"/>
    <w:rsid w:val="00AF0F64"/>
    <w:rsid w:val="00AF1181"/>
    <w:rsid w:val="00AF2F79"/>
    <w:rsid w:val="00AF3FA8"/>
    <w:rsid w:val="00AF4653"/>
    <w:rsid w:val="00AF7DB7"/>
    <w:rsid w:val="00B0650F"/>
    <w:rsid w:val="00B10D02"/>
    <w:rsid w:val="00B10D03"/>
    <w:rsid w:val="00B1138C"/>
    <w:rsid w:val="00B12BE1"/>
    <w:rsid w:val="00B1539F"/>
    <w:rsid w:val="00B201E2"/>
    <w:rsid w:val="00B26308"/>
    <w:rsid w:val="00B27517"/>
    <w:rsid w:val="00B27B78"/>
    <w:rsid w:val="00B326DA"/>
    <w:rsid w:val="00B366A6"/>
    <w:rsid w:val="00B37F50"/>
    <w:rsid w:val="00B443E4"/>
    <w:rsid w:val="00B4735B"/>
    <w:rsid w:val="00B53A88"/>
    <w:rsid w:val="00B5484D"/>
    <w:rsid w:val="00B563EA"/>
    <w:rsid w:val="00B56CDF"/>
    <w:rsid w:val="00B56E8F"/>
    <w:rsid w:val="00B60E51"/>
    <w:rsid w:val="00B63358"/>
    <w:rsid w:val="00B63568"/>
    <w:rsid w:val="00B63A54"/>
    <w:rsid w:val="00B7759E"/>
    <w:rsid w:val="00B77D18"/>
    <w:rsid w:val="00B80A1A"/>
    <w:rsid w:val="00B8259B"/>
    <w:rsid w:val="00B8313A"/>
    <w:rsid w:val="00B916E6"/>
    <w:rsid w:val="00B9232F"/>
    <w:rsid w:val="00B92533"/>
    <w:rsid w:val="00B93503"/>
    <w:rsid w:val="00B94B71"/>
    <w:rsid w:val="00BA31E8"/>
    <w:rsid w:val="00BA4D2A"/>
    <w:rsid w:val="00BA55E0"/>
    <w:rsid w:val="00BA6BD4"/>
    <w:rsid w:val="00BA6C7A"/>
    <w:rsid w:val="00BA7A19"/>
    <w:rsid w:val="00BB1509"/>
    <w:rsid w:val="00BB17D1"/>
    <w:rsid w:val="00BB3752"/>
    <w:rsid w:val="00BB6297"/>
    <w:rsid w:val="00BB6688"/>
    <w:rsid w:val="00BB7369"/>
    <w:rsid w:val="00BC1290"/>
    <w:rsid w:val="00BC26D4"/>
    <w:rsid w:val="00BC4C47"/>
    <w:rsid w:val="00BC4C64"/>
    <w:rsid w:val="00BC5A38"/>
    <w:rsid w:val="00BD0E83"/>
    <w:rsid w:val="00BE0C80"/>
    <w:rsid w:val="00BE16C2"/>
    <w:rsid w:val="00BE26EA"/>
    <w:rsid w:val="00BE44D9"/>
    <w:rsid w:val="00BE5F36"/>
    <w:rsid w:val="00BE63BD"/>
    <w:rsid w:val="00BF0277"/>
    <w:rsid w:val="00BF2A42"/>
    <w:rsid w:val="00BF7FCE"/>
    <w:rsid w:val="00C02781"/>
    <w:rsid w:val="00C02B87"/>
    <w:rsid w:val="00C02C95"/>
    <w:rsid w:val="00C03D8C"/>
    <w:rsid w:val="00C055EC"/>
    <w:rsid w:val="00C05BEF"/>
    <w:rsid w:val="00C10DC9"/>
    <w:rsid w:val="00C12C83"/>
    <w:rsid w:val="00C12FB3"/>
    <w:rsid w:val="00C13F12"/>
    <w:rsid w:val="00C165B7"/>
    <w:rsid w:val="00C17341"/>
    <w:rsid w:val="00C173C9"/>
    <w:rsid w:val="00C173E2"/>
    <w:rsid w:val="00C20920"/>
    <w:rsid w:val="00C20CFF"/>
    <w:rsid w:val="00C239C9"/>
    <w:rsid w:val="00C23D1D"/>
    <w:rsid w:val="00C245CF"/>
    <w:rsid w:val="00C24EEF"/>
    <w:rsid w:val="00C25810"/>
    <w:rsid w:val="00C25CF6"/>
    <w:rsid w:val="00C26C36"/>
    <w:rsid w:val="00C32768"/>
    <w:rsid w:val="00C41479"/>
    <w:rsid w:val="00C431DF"/>
    <w:rsid w:val="00C456BD"/>
    <w:rsid w:val="00C45716"/>
    <w:rsid w:val="00C530DC"/>
    <w:rsid w:val="00C5350D"/>
    <w:rsid w:val="00C555AB"/>
    <w:rsid w:val="00C55F9F"/>
    <w:rsid w:val="00C5753C"/>
    <w:rsid w:val="00C6123C"/>
    <w:rsid w:val="00C622DC"/>
    <w:rsid w:val="00C6311A"/>
    <w:rsid w:val="00C64130"/>
    <w:rsid w:val="00C64C24"/>
    <w:rsid w:val="00C7084D"/>
    <w:rsid w:val="00C71E94"/>
    <w:rsid w:val="00C7315E"/>
    <w:rsid w:val="00C735FC"/>
    <w:rsid w:val="00C75895"/>
    <w:rsid w:val="00C7631F"/>
    <w:rsid w:val="00C768E5"/>
    <w:rsid w:val="00C76D60"/>
    <w:rsid w:val="00C824F2"/>
    <w:rsid w:val="00C83C9F"/>
    <w:rsid w:val="00C845F6"/>
    <w:rsid w:val="00C93CF1"/>
    <w:rsid w:val="00C94840"/>
    <w:rsid w:val="00CA0282"/>
    <w:rsid w:val="00CA2C14"/>
    <w:rsid w:val="00CA4EE3"/>
    <w:rsid w:val="00CB00DD"/>
    <w:rsid w:val="00CB027F"/>
    <w:rsid w:val="00CB02DB"/>
    <w:rsid w:val="00CB2428"/>
    <w:rsid w:val="00CB39FE"/>
    <w:rsid w:val="00CB3D6A"/>
    <w:rsid w:val="00CB3EA9"/>
    <w:rsid w:val="00CC0EBB"/>
    <w:rsid w:val="00CC1791"/>
    <w:rsid w:val="00CC41C1"/>
    <w:rsid w:val="00CC6297"/>
    <w:rsid w:val="00CC7690"/>
    <w:rsid w:val="00CD1986"/>
    <w:rsid w:val="00CD2448"/>
    <w:rsid w:val="00CD2A83"/>
    <w:rsid w:val="00CD30C5"/>
    <w:rsid w:val="00CD3D89"/>
    <w:rsid w:val="00CD54BF"/>
    <w:rsid w:val="00CD5EA6"/>
    <w:rsid w:val="00CD6E8E"/>
    <w:rsid w:val="00CE22E7"/>
    <w:rsid w:val="00CE4D5C"/>
    <w:rsid w:val="00CE6419"/>
    <w:rsid w:val="00CF05DA"/>
    <w:rsid w:val="00CF58EB"/>
    <w:rsid w:val="00CF660D"/>
    <w:rsid w:val="00CF6FEC"/>
    <w:rsid w:val="00D006A3"/>
    <w:rsid w:val="00D0106E"/>
    <w:rsid w:val="00D03230"/>
    <w:rsid w:val="00D0346F"/>
    <w:rsid w:val="00D06383"/>
    <w:rsid w:val="00D06BF2"/>
    <w:rsid w:val="00D133D7"/>
    <w:rsid w:val="00D1392A"/>
    <w:rsid w:val="00D15DFD"/>
    <w:rsid w:val="00D17DEC"/>
    <w:rsid w:val="00D20B69"/>
    <w:rsid w:val="00D20E85"/>
    <w:rsid w:val="00D24615"/>
    <w:rsid w:val="00D27246"/>
    <w:rsid w:val="00D37842"/>
    <w:rsid w:val="00D3787F"/>
    <w:rsid w:val="00D37C03"/>
    <w:rsid w:val="00D41751"/>
    <w:rsid w:val="00D42DC2"/>
    <w:rsid w:val="00D4302B"/>
    <w:rsid w:val="00D449B3"/>
    <w:rsid w:val="00D47315"/>
    <w:rsid w:val="00D5245A"/>
    <w:rsid w:val="00D537E1"/>
    <w:rsid w:val="00D5411D"/>
    <w:rsid w:val="00D55BB2"/>
    <w:rsid w:val="00D57308"/>
    <w:rsid w:val="00D57E71"/>
    <w:rsid w:val="00D6091A"/>
    <w:rsid w:val="00D64E9B"/>
    <w:rsid w:val="00D6605A"/>
    <w:rsid w:val="00D6695F"/>
    <w:rsid w:val="00D706F8"/>
    <w:rsid w:val="00D7089D"/>
    <w:rsid w:val="00D72A88"/>
    <w:rsid w:val="00D73797"/>
    <w:rsid w:val="00D75644"/>
    <w:rsid w:val="00D76459"/>
    <w:rsid w:val="00D8057A"/>
    <w:rsid w:val="00D81656"/>
    <w:rsid w:val="00D82690"/>
    <w:rsid w:val="00D83D87"/>
    <w:rsid w:val="00D84A6D"/>
    <w:rsid w:val="00D86A30"/>
    <w:rsid w:val="00D97CB4"/>
    <w:rsid w:val="00D97DD4"/>
    <w:rsid w:val="00DA2528"/>
    <w:rsid w:val="00DA2E7F"/>
    <w:rsid w:val="00DA4323"/>
    <w:rsid w:val="00DA4FA0"/>
    <w:rsid w:val="00DA5A8A"/>
    <w:rsid w:val="00DA66E5"/>
    <w:rsid w:val="00DB1170"/>
    <w:rsid w:val="00DB26CD"/>
    <w:rsid w:val="00DB441C"/>
    <w:rsid w:val="00DB44AF"/>
    <w:rsid w:val="00DB674B"/>
    <w:rsid w:val="00DC1F58"/>
    <w:rsid w:val="00DC339B"/>
    <w:rsid w:val="00DC5D40"/>
    <w:rsid w:val="00DC69A7"/>
    <w:rsid w:val="00DD09FA"/>
    <w:rsid w:val="00DD184B"/>
    <w:rsid w:val="00DD1C72"/>
    <w:rsid w:val="00DD2460"/>
    <w:rsid w:val="00DD30E9"/>
    <w:rsid w:val="00DD439F"/>
    <w:rsid w:val="00DD4F47"/>
    <w:rsid w:val="00DD7ADD"/>
    <w:rsid w:val="00DD7FBB"/>
    <w:rsid w:val="00DE0B9F"/>
    <w:rsid w:val="00DE2A9E"/>
    <w:rsid w:val="00DE4238"/>
    <w:rsid w:val="00DE47D9"/>
    <w:rsid w:val="00DE657F"/>
    <w:rsid w:val="00DF07BD"/>
    <w:rsid w:val="00DF1218"/>
    <w:rsid w:val="00DF2186"/>
    <w:rsid w:val="00DF6462"/>
    <w:rsid w:val="00E02C10"/>
    <w:rsid w:val="00E02E10"/>
    <w:rsid w:val="00E02FA0"/>
    <w:rsid w:val="00E036DC"/>
    <w:rsid w:val="00E10454"/>
    <w:rsid w:val="00E112E5"/>
    <w:rsid w:val="00E122D8"/>
    <w:rsid w:val="00E12CC8"/>
    <w:rsid w:val="00E133C1"/>
    <w:rsid w:val="00E15352"/>
    <w:rsid w:val="00E17B69"/>
    <w:rsid w:val="00E17D26"/>
    <w:rsid w:val="00E212F6"/>
    <w:rsid w:val="00E21CC7"/>
    <w:rsid w:val="00E24D9E"/>
    <w:rsid w:val="00E25849"/>
    <w:rsid w:val="00E25AA8"/>
    <w:rsid w:val="00E3181A"/>
    <w:rsid w:val="00E3197E"/>
    <w:rsid w:val="00E342F8"/>
    <w:rsid w:val="00E351ED"/>
    <w:rsid w:val="00E3787A"/>
    <w:rsid w:val="00E40EF0"/>
    <w:rsid w:val="00E43A6E"/>
    <w:rsid w:val="00E47F90"/>
    <w:rsid w:val="00E54B92"/>
    <w:rsid w:val="00E6034B"/>
    <w:rsid w:val="00E60F56"/>
    <w:rsid w:val="00E6198D"/>
    <w:rsid w:val="00E6549E"/>
    <w:rsid w:val="00E656B5"/>
    <w:rsid w:val="00E65EDE"/>
    <w:rsid w:val="00E66CCB"/>
    <w:rsid w:val="00E66E16"/>
    <w:rsid w:val="00E70F81"/>
    <w:rsid w:val="00E74EE1"/>
    <w:rsid w:val="00E77055"/>
    <w:rsid w:val="00E77460"/>
    <w:rsid w:val="00E816B0"/>
    <w:rsid w:val="00E83ABC"/>
    <w:rsid w:val="00E844F2"/>
    <w:rsid w:val="00E84A1D"/>
    <w:rsid w:val="00E90AD0"/>
    <w:rsid w:val="00E90E6F"/>
    <w:rsid w:val="00E92FCB"/>
    <w:rsid w:val="00E940DD"/>
    <w:rsid w:val="00EA147F"/>
    <w:rsid w:val="00EA1644"/>
    <w:rsid w:val="00EA4A27"/>
    <w:rsid w:val="00EA4FA6"/>
    <w:rsid w:val="00EB1A25"/>
    <w:rsid w:val="00EB7D9A"/>
    <w:rsid w:val="00EC055A"/>
    <w:rsid w:val="00EC391A"/>
    <w:rsid w:val="00EC4BB8"/>
    <w:rsid w:val="00EC6CE1"/>
    <w:rsid w:val="00EC7363"/>
    <w:rsid w:val="00ED03AB"/>
    <w:rsid w:val="00ED1963"/>
    <w:rsid w:val="00ED1CD4"/>
    <w:rsid w:val="00ED1D2B"/>
    <w:rsid w:val="00ED2F6F"/>
    <w:rsid w:val="00ED64B5"/>
    <w:rsid w:val="00EE0493"/>
    <w:rsid w:val="00EE4176"/>
    <w:rsid w:val="00EE47A4"/>
    <w:rsid w:val="00EE4F58"/>
    <w:rsid w:val="00EE5F76"/>
    <w:rsid w:val="00EE7CCA"/>
    <w:rsid w:val="00EF3DDB"/>
    <w:rsid w:val="00F02C52"/>
    <w:rsid w:val="00F04244"/>
    <w:rsid w:val="00F04C1B"/>
    <w:rsid w:val="00F1522B"/>
    <w:rsid w:val="00F16A14"/>
    <w:rsid w:val="00F17152"/>
    <w:rsid w:val="00F21446"/>
    <w:rsid w:val="00F23641"/>
    <w:rsid w:val="00F33098"/>
    <w:rsid w:val="00F3379A"/>
    <w:rsid w:val="00F33EFC"/>
    <w:rsid w:val="00F3523A"/>
    <w:rsid w:val="00F362D7"/>
    <w:rsid w:val="00F37D7B"/>
    <w:rsid w:val="00F52977"/>
    <w:rsid w:val="00F5314C"/>
    <w:rsid w:val="00F5688C"/>
    <w:rsid w:val="00F56E20"/>
    <w:rsid w:val="00F57DBC"/>
    <w:rsid w:val="00F60048"/>
    <w:rsid w:val="00F61879"/>
    <w:rsid w:val="00F618F4"/>
    <w:rsid w:val="00F635DD"/>
    <w:rsid w:val="00F6627B"/>
    <w:rsid w:val="00F7336E"/>
    <w:rsid w:val="00F734F2"/>
    <w:rsid w:val="00F75052"/>
    <w:rsid w:val="00F7563E"/>
    <w:rsid w:val="00F7748F"/>
    <w:rsid w:val="00F804D3"/>
    <w:rsid w:val="00F816CB"/>
    <w:rsid w:val="00F81CD2"/>
    <w:rsid w:val="00F82543"/>
    <w:rsid w:val="00F82641"/>
    <w:rsid w:val="00F83B14"/>
    <w:rsid w:val="00F90F18"/>
    <w:rsid w:val="00F915E8"/>
    <w:rsid w:val="00F9223B"/>
    <w:rsid w:val="00F92AB0"/>
    <w:rsid w:val="00F937E4"/>
    <w:rsid w:val="00F95EE7"/>
    <w:rsid w:val="00F961E6"/>
    <w:rsid w:val="00FA39E6"/>
    <w:rsid w:val="00FA733A"/>
    <w:rsid w:val="00FA7BC9"/>
    <w:rsid w:val="00FB378E"/>
    <w:rsid w:val="00FB37F1"/>
    <w:rsid w:val="00FB47C0"/>
    <w:rsid w:val="00FB501B"/>
    <w:rsid w:val="00FB7770"/>
    <w:rsid w:val="00FB7B88"/>
    <w:rsid w:val="00FC6DE3"/>
    <w:rsid w:val="00FD3B91"/>
    <w:rsid w:val="00FD576B"/>
    <w:rsid w:val="00FD579E"/>
    <w:rsid w:val="00FD6845"/>
    <w:rsid w:val="00FE188D"/>
    <w:rsid w:val="00FE1F49"/>
    <w:rsid w:val="00FE4516"/>
    <w:rsid w:val="00FE64C8"/>
    <w:rsid w:val="00FF2058"/>
    <w:rsid w:val="00FF2A8C"/>
    <w:rsid w:val="00FF40B2"/>
    <w:rsid w:val="00FF7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89DB00-1BB3-4156-BA1D-88039F10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B2751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aliases w:val="字元,註腳文字 字元3,註腳文字 字元2 字元,註腳文字 字元 字元1 字元,字元 字元1 字元 字元,ftx 字元 字元 字元,註腳文字 字元1 字元 字元 字元,註腳文字 字元 字元 字元 字元 字元,ftx 字元1 字元,註腳文字 字元1 字元1 字元,註腳文字 字元 字元 字元1 字元,字元 字元2 字元,註腳文字 字元 字元2,字元 字元1 字元1,ftx 字元 字元1,註腳文字 字元1 字元 字元1,註腳文字 字元 字元 字元 字元1,ftx 字元2,註腳文字 字元1,f"/>
    <w:basedOn w:val="a6"/>
    <w:link w:val="afe"/>
    <w:unhideWhenUsed/>
    <w:rsid w:val="004F298E"/>
    <w:pPr>
      <w:snapToGrid w:val="0"/>
      <w:ind w:left="90" w:hangingChars="90" w:hanging="90"/>
      <w:jc w:val="left"/>
    </w:pPr>
    <w:rPr>
      <w:sz w:val="20"/>
    </w:rPr>
  </w:style>
  <w:style w:type="character" w:customStyle="1" w:styleId="afe">
    <w:name w:val="註腳文字 字元"/>
    <w:aliases w:val="字元 字元,註腳文字 字元3 字元,註腳文字 字元2 字元 字元,註腳文字 字元 字元1 字元 字元,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字元 字元2 字元 字元,註腳文字 字元 字元2 字元,字元 字元1 字元1 字元,ftx 字元 字元1 字元,f 字元"/>
    <w:basedOn w:val="a7"/>
    <w:link w:val="afd"/>
    <w:rsid w:val="004F298E"/>
    <w:rPr>
      <w:rFonts w:ascii="標楷體" w:eastAsia="標楷體"/>
      <w:kern w:val="2"/>
    </w:rPr>
  </w:style>
  <w:style w:type="character" w:styleId="aff">
    <w:name w:val="footnote reference"/>
    <w:basedOn w:val="a7"/>
    <w:semiHidden/>
    <w:unhideWhenUsed/>
    <w:rsid w:val="007E5F58"/>
    <w:rPr>
      <w:vertAlign w:val="superscript"/>
    </w:rPr>
  </w:style>
  <w:style w:type="character" w:customStyle="1" w:styleId="30">
    <w:name w:val="標題 3 字元"/>
    <w:basedOn w:val="a7"/>
    <w:link w:val="3"/>
    <w:rsid w:val="00AE1006"/>
    <w:rPr>
      <w:rFonts w:ascii="標楷體" w:eastAsia="標楷體" w:hAnsi="Arial"/>
      <w:bCs/>
      <w:kern w:val="32"/>
      <w:sz w:val="32"/>
      <w:szCs w:val="36"/>
    </w:rPr>
  </w:style>
  <w:style w:type="character" w:customStyle="1" w:styleId="40">
    <w:name w:val="標題 4 字元"/>
    <w:basedOn w:val="a7"/>
    <w:link w:val="4"/>
    <w:rsid w:val="00AE1006"/>
    <w:rPr>
      <w:rFonts w:ascii="標楷體" w:eastAsia="標楷體" w:hAnsi="Arial"/>
      <w:kern w:val="32"/>
      <w:sz w:val="32"/>
      <w:szCs w:val="36"/>
    </w:rPr>
  </w:style>
  <w:style w:type="character" w:customStyle="1" w:styleId="af4">
    <w:name w:val="頁尾 字元"/>
    <w:basedOn w:val="a7"/>
    <w:link w:val="af3"/>
    <w:uiPriority w:val="99"/>
    <w:rsid w:val="006E192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65727">
      <w:bodyDiv w:val="1"/>
      <w:marLeft w:val="0"/>
      <w:marRight w:val="0"/>
      <w:marTop w:val="0"/>
      <w:marBottom w:val="0"/>
      <w:divBdr>
        <w:top w:val="none" w:sz="0" w:space="0" w:color="auto"/>
        <w:left w:val="none" w:sz="0" w:space="0" w:color="auto"/>
        <w:bottom w:val="none" w:sz="0" w:space="0" w:color="auto"/>
        <w:right w:val="none" w:sz="0" w:space="0" w:color="auto"/>
      </w:divBdr>
    </w:div>
    <w:div w:id="511452387">
      <w:bodyDiv w:val="1"/>
      <w:marLeft w:val="0"/>
      <w:marRight w:val="0"/>
      <w:marTop w:val="0"/>
      <w:marBottom w:val="0"/>
      <w:divBdr>
        <w:top w:val="none" w:sz="0" w:space="0" w:color="auto"/>
        <w:left w:val="none" w:sz="0" w:space="0" w:color="auto"/>
        <w:bottom w:val="none" w:sz="0" w:space="0" w:color="auto"/>
        <w:right w:val="none" w:sz="0" w:space="0" w:color="auto"/>
      </w:divBdr>
    </w:div>
    <w:div w:id="609238033">
      <w:bodyDiv w:val="1"/>
      <w:marLeft w:val="0"/>
      <w:marRight w:val="0"/>
      <w:marTop w:val="0"/>
      <w:marBottom w:val="0"/>
      <w:divBdr>
        <w:top w:val="none" w:sz="0" w:space="0" w:color="auto"/>
        <w:left w:val="none" w:sz="0" w:space="0" w:color="auto"/>
        <w:bottom w:val="none" w:sz="0" w:space="0" w:color="auto"/>
        <w:right w:val="none" w:sz="0" w:space="0" w:color="auto"/>
      </w:divBdr>
    </w:div>
    <w:div w:id="7448410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9082016">
      <w:bodyDiv w:val="1"/>
      <w:marLeft w:val="0"/>
      <w:marRight w:val="0"/>
      <w:marTop w:val="0"/>
      <w:marBottom w:val="0"/>
      <w:divBdr>
        <w:top w:val="none" w:sz="0" w:space="0" w:color="auto"/>
        <w:left w:val="none" w:sz="0" w:space="0" w:color="auto"/>
        <w:bottom w:val="none" w:sz="0" w:space="0" w:color="auto"/>
        <w:right w:val="none" w:sz="0" w:space="0" w:color="auto"/>
      </w:divBdr>
    </w:div>
    <w:div w:id="1207717233">
      <w:bodyDiv w:val="1"/>
      <w:marLeft w:val="0"/>
      <w:marRight w:val="0"/>
      <w:marTop w:val="0"/>
      <w:marBottom w:val="0"/>
      <w:divBdr>
        <w:top w:val="none" w:sz="0" w:space="0" w:color="auto"/>
        <w:left w:val="none" w:sz="0" w:space="0" w:color="auto"/>
        <w:bottom w:val="none" w:sz="0" w:space="0" w:color="auto"/>
        <w:right w:val="none" w:sz="0" w:space="0" w:color="auto"/>
      </w:divBdr>
    </w:div>
    <w:div w:id="1699887513">
      <w:bodyDiv w:val="1"/>
      <w:marLeft w:val="0"/>
      <w:marRight w:val="0"/>
      <w:marTop w:val="0"/>
      <w:marBottom w:val="0"/>
      <w:divBdr>
        <w:top w:val="none" w:sz="0" w:space="0" w:color="auto"/>
        <w:left w:val="none" w:sz="0" w:space="0" w:color="auto"/>
        <w:bottom w:val="none" w:sz="0" w:space="0" w:color="auto"/>
        <w:right w:val="none" w:sz="0" w:space="0" w:color="auto"/>
      </w:divBdr>
    </w:div>
    <w:div w:id="205142128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CD487-3A85-435A-BA22-833F5F4E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3</Pages>
  <Words>4138</Words>
  <Characters>23593</Characters>
  <Application>Microsoft Office Word</Application>
  <DocSecurity>0</DocSecurity>
  <Lines>196</Lines>
  <Paragraphs>55</Paragraphs>
  <ScaleCrop>false</ScaleCrop>
  <Company>cy</Company>
  <LinksUpToDate>false</LinksUpToDate>
  <CharactersWithSpaces>27676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陳先成</dc:creator>
  <cp:lastModifiedBy>陳淑娟</cp:lastModifiedBy>
  <cp:revision>2</cp:revision>
  <cp:lastPrinted>2018-07-02T11:24:00Z</cp:lastPrinted>
  <dcterms:created xsi:type="dcterms:W3CDTF">2018-07-20T09:21:00Z</dcterms:created>
  <dcterms:modified xsi:type="dcterms:W3CDTF">2018-07-20T09:21:00Z</dcterms:modified>
</cp:coreProperties>
</file>