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66D33" w:rsidRDefault="00C7631F" w:rsidP="00F37D7B">
      <w:pPr>
        <w:pStyle w:val="af2"/>
      </w:pPr>
      <w:bookmarkStart w:id="0" w:name="_GoBack"/>
      <w:bookmarkEnd w:id="0"/>
      <w:r w:rsidRPr="00A66D33">
        <w:rPr>
          <w:rFonts w:hint="eastAsia"/>
        </w:rPr>
        <w:t>陳報說明書</w:t>
      </w:r>
      <w:r w:rsidR="00C45716" w:rsidRPr="00A66D33">
        <w:rPr>
          <w:rStyle w:val="aff"/>
        </w:rPr>
        <w:footnoteReference w:id="1"/>
      </w:r>
    </w:p>
    <w:p w:rsidR="002964B6" w:rsidRPr="00A66D33" w:rsidRDefault="00E17B69" w:rsidP="00305435">
      <w:pPr>
        <w:pStyle w:val="1"/>
        <w:ind w:left="709" w:hanging="709"/>
      </w:pPr>
      <w:bookmarkStart w:id="1" w:name="_Toc524902730"/>
      <w:r w:rsidRPr="00A66D33">
        <w:rPr>
          <w:rFonts w:hint="eastAsia"/>
        </w:rPr>
        <w:t>司法院大法官</w:t>
      </w:r>
      <w:r w:rsidR="009D103A" w:rsidRPr="00A66D33">
        <w:rPr>
          <w:rFonts w:ascii="Arial" w:cs="Arial"/>
          <w:shd w:val="clear" w:color="auto" w:fill="FFFFFF"/>
        </w:rPr>
        <w:t>審理</w:t>
      </w:r>
      <w:r w:rsidR="002964B6" w:rsidRPr="00A66D33">
        <w:rPr>
          <w:rFonts w:hint="eastAsia"/>
        </w:rPr>
        <w:t>案件法第5條第1項第1款規定：「有左列情形之一者，得聲請解釋憲法：一、中央或地方機關，於其行使職權，適用憲法發生疑義……或適用法律與命令發生有牴觸憲法之疑義者」。其於監察院聲請釋憲時應如何適用？本件監察院釋憲聲請究係該院行使何種職權，又如何適用政黨及其附隨組織不當取得財產處理</w:t>
      </w:r>
      <w:r w:rsidR="002964B6" w:rsidRPr="00A66D33">
        <w:rPr>
          <w:rFonts w:hint="eastAsia"/>
        </w:rPr>
        <w:lastRenderedPageBreak/>
        <w:t>條例之規定？本件聲請是否合於前開聲請要件，而應否受理？</w:t>
      </w:r>
    </w:p>
    <w:p w:rsidR="00793A6A" w:rsidRPr="00A66D33" w:rsidRDefault="00793A6A" w:rsidP="00793A6A">
      <w:pPr>
        <w:pStyle w:val="1"/>
        <w:numPr>
          <w:ilvl w:val="0"/>
          <w:numId w:val="0"/>
        </w:numPr>
      </w:pPr>
      <w:r w:rsidRPr="00A66D33">
        <w:rPr>
          <w:rFonts w:hint="eastAsia"/>
        </w:rPr>
        <w:t>監察院說明</w:t>
      </w:r>
      <w:r w:rsidRPr="00A66D33">
        <w:rPr>
          <w:rFonts w:hAnsi="標楷體" w:hint="eastAsia"/>
        </w:rPr>
        <w:t>：</w:t>
      </w:r>
    </w:p>
    <w:p w:rsidR="002964B6" w:rsidRPr="00A66D33" w:rsidRDefault="00E17B69" w:rsidP="003858F4">
      <w:pPr>
        <w:pStyle w:val="2"/>
      </w:pPr>
      <w:r w:rsidRPr="00A66D33">
        <w:rPr>
          <w:rFonts w:hint="eastAsia"/>
          <w:b/>
        </w:rPr>
        <w:t>司法院大法官</w:t>
      </w:r>
      <w:r w:rsidR="009D103A" w:rsidRPr="00A66D33">
        <w:rPr>
          <w:rFonts w:ascii="Arial" w:cs="Arial"/>
          <w:b/>
          <w:shd w:val="clear" w:color="auto" w:fill="FFFFFF"/>
        </w:rPr>
        <w:t>審理</w:t>
      </w:r>
      <w:r w:rsidRPr="00A66D33">
        <w:rPr>
          <w:rFonts w:hint="eastAsia"/>
          <w:b/>
        </w:rPr>
        <w:t>案件法第5條第1項第1款規定</w:t>
      </w:r>
      <w:r w:rsidR="00C7631F" w:rsidRPr="00A66D33">
        <w:rPr>
          <w:rFonts w:hint="eastAsia"/>
          <w:b/>
        </w:rPr>
        <w:t>，</w:t>
      </w:r>
      <w:r w:rsidR="00E90E6F" w:rsidRPr="00A66D33">
        <w:rPr>
          <w:rFonts w:hint="eastAsia"/>
          <w:b/>
        </w:rPr>
        <w:t>「適用法律命令發生有無牴觸憲法」之射程非僅指</w:t>
      </w:r>
      <w:r w:rsidR="00FE188D" w:rsidRPr="00A66D33">
        <w:rPr>
          <w:rFonts w:hint="eastAsia"/>
          <w:b/>
        </w:rPr>
        <w:t>限於</w:t>
      </w:r>
      <w:r w:rsidR="00E90E6F" w:rsidRPr="00A66D33">
        <w:rPr>
          <w:rFonts w:hint="eastAsia"/>
          <w:b/>
        </w:rPr>
        <w:t>行使職權之部分</w:t>
      </w:r>
      <w:r w:rsidR="00FE188D" w:rsidRPr="00A66D33">
        <w:rPr>
          <w:rFonts w:hint="eastAsia"/>
          <w:b/>
        </w:rPr>
        <w:t>，就法律</w:t>
      </w:r>
      <w:r w:rsidR="00FE188D" w:rsidRPr="00A66D33">
        <w:rPr>
          <w:rFonts w:hAnsi="標楷體" w:hint="eastAsia"/>
          <w:b/>
        </w:rPr>
        <w:t>牴觸憲法部分於制憲前五五憲草原設計</w:t>
      </w:r>
      <w:r w:rsidR="00EC055A" w:rsidRPr="00A66D33">
        <w:rPr>
          <w:rFonts w:hAnsi="標楷體" w:hint="eastAsia"/>
          <w:b/>
        </w:rPr>
        <w:t>係</w:t>
      </w:r>
      <w:r w:rsidR="00FE188D" w:rsidRPr="00A66D33">
        <w:rPr>
          <w:rFonts w:hAnsi="標楷體" w:hint="eastAsia"/>
          <w:b/>
        </w:rPr>
        <w:t>為監察院之專屬聲請權</w:t>
      </w:r>
      <w:r w:rsidR="006359D5" w:rsidRPr="00A66D33">
        <w:rPr>
          <w:rFonts w:hAnsi="標楷體" w:hint="eastAsia"/>
          <w:b/>
        </w:rPr>
        <w:t>，</w:t>
      </w:r>
      <w:r w:rsidR="006359D5" w:rsidRPr="00A66D33">
        <w:rPr>
          <w:rFonts w:hint="eastAsia"/>
          <w:b/>
        </w:rPr>
        <w:t>其後制憲</w:t>
      </w:r>
      <w:r w:rsidR="00227ED9" w:rsidRPr="00A66D33">
        <w:rPr>
          <w:rFonts w:hint="eastAsia"/>
          <w:b/>
        </w:rPr>
        <w:t>者未</w:t>
      </w:r>
      <w:r w:rsidR="003B77F3" w:rsidRPr="00A66D33">
        <w:rPr>
          <w:rFonts w:hint="eastAsia"/>
          <w:b/>
        </w:rPr>
        <w:t>採該憲草原則</w:t>
      </w:r>
      <w:r w:rsidR="003B77F3" w:rsidRPr="00A66D33">
        <w:rPr>
          <w:rFonts w:hAnsi="標楷體" w:hint="eastAsia"/>
          <w:b/>
        </w:rPr>
        <w:t>，</w:t>
      </w:r>
      <w:r w:rsidR="00227ED9" w:rsidRPr="00A66D33">
        <w:rPr>
          <w:rFonts w:hint="eastAsia"/>
          <w:b/>
        </w:rPr>
        <w:t>依據司法院大法官會議規則第3條規定</w:t>
      </w:r>
      <w:r w:rsidR="00545059" w:rsidRPr="00A66D33">
        <w:rPr>
          <w:rFonts w:hAnsi="標楷體" w:hint="eastAsia"/>
          <w:b/>
        </w:rPr>
        <w:t>，</w:t>
      </w:r>
      <w:r w:rsidR="00545059" w:rsidRPr="00A66D33">
        <w:rPr>
          <w:rFonts w:hint="eastAsia"/>
          <w:b/>
        </w:rPr>
        <w:t>由</w:t>
      </w:r>
      <w:r w:rsidR="006359D5" w:rsidRPr="00A66D33">
        <w:rPr>
          <w:rFonts w:hint="eastAsia"/>
          <w:b/>
        </w:rPr>
        <w:t>各中央機關與地方機關</w:t>
      </w:r>
      <w:r w:rsidR="00227ED9" w:rsidRPr="00A66D33">
        <w:rPr>
          <w:rFonts w:hint="eastAsia"/>
          <w:b/>
        </w:rPr>
        <w:t>均</w:t>
      </w:r>
      <w:r w:rsidR="006359D5" w:rsidRPr="00A66D33">
        <w:rPr>
          <w:rFonts w:hint="eastAsia"/>
          <w:b/>
        </w:rPr>
        <w:t>得以</w:t>
      </w:r>
      <w:r w:rsidR="00461662" w:rsidRPr="00A66D33">
        <w:rPr>
          <w:rFonts w:hAnsi="標楷體" w:hint="eastAsia"/>
          <w:b/>
        </w:rPr>
        <w:t>「</w:t>
      </w:r>
      <w:r w:rsidR="006359D5" w:rsidRPr="00A66D33">
        <w:rPr>
          <w:rFonts w:hint="eastAsia"/>
          <w:b/>
        </w:rPr>
        <w:t>機關名義</w:t>
      </w:r>
      <w:r w:rsidR="00461662" w:rsidRPr="00A66D33">
        <w:rPr>
          <w:rFonts w:hAnsi="標楷體" w:hint="eastAsia"/>
          <w:b/>
        </w:rPr>
        <w:t>」</w:t>
      </w:r>
      <w:r w:rsidR="006359D5" w:rsidRPr="00A66D33">
        <w:rPr>
          <w:rFonts w:hint="eastAsia"/>
          <w:b/>
        </w:rPr>
        <w:t>聲請釋憲</w:t>
      </w:r>
      <w:r w:rsidR="003B77F3" w:rsidRPr="00A66D33">
        <w:rPr>
          <w:rFonts w:hAnsi="標楷體" w:hint="eastAsia"/>
          <w:b/>
        </w:rPr>
        <w:t>，</w:t>
      </w:r>
      <w:r w:rsidR="003858F4" w:rsidRPr="00A66D33">
        <w:rPr>
          <w:rFonts w:hAnsi="標楷體" w:hint="eastAsia"/>
          <w:b/>
        </w:rPr>
        <w:t>監察院為最高監察機關就各機關所行使之法律或命令，享有「法令違憲審查權」之發動權，</w:t>
      </w:r>
      <w:r w:rsidR="003B77F3" w:rsidRPr="00A66D33">
        <w:rPr>
          <w:rFonts w:hint="eastAsia"/>
          <w:b/>
        </w:rPr>
        <w:t>自無因本件釋憲案</w:t>
      </w:r>
      <w:r w:rsidR="003B77F3" w:rsidRPr="00A66D33">
        <w:rPr>
          <w:rFonts w:hAnsi="標楷體" w:hint="eastAsia"/>
          <w:b/>
        </w:rPr>
        <w:t>，</w:t>
      </w:r>
      <w:r w:rsidR="008E7941" w:rsidRPr="00A66D33">
        <w:rPr>
          <w:rFonts w:hAnsi="標楷體" w:hint="eastAsia"/>
          <w:b/>
        </w:rPr>
        <w:t>透過司法權</w:t>
      </w:r>
      <w:r w:rsidR="003B77F3" w:rsidRPr="00A66D33">
        <w:rPr>
          <w:rFonts w:hint="eastAsia"/>
          <w:b/>
        </w:rPr>
        <w:t>限制監察權之違憲審查權</w:t>
      </w:r>
      <w:r w:rsidR="003B77F3" w:rsidRPr="00A66D33">
        <w:rPr>
          <w:rFonts w:hAnsi="標楷體" w:hint="eastAsia"/>
          <w:b/>
        </w:rPr>
        <w:t>，</w:t>
      </w:r>
      <w:r w:rsidR="008A0DD5" w:rsidRPr="00A66D33">
        <w:rPr>
          <w:rFonts w:hAnsi="標楷體" w:hint="eastAsia"/>
          <w:b/>
        </w:rPr>
        <w:t>而造成</w:t>
      </w:r>
      <w:r w:rsidR="00D37C03" w:rsidRPr="00A66D33">
        <w:rPr>
          <w:rFonts w:hAnsi="標楷體" w:hint="eastAsia"/>
          <w:b/>
        </w:rPr>
        <w:t>實質上亦限制司法權之法令違憲審查權，</w:t>
      </w:r>
      <w:r w:rsidR="008A0DD5" w:rsidRPr="00A66D33">
        <w:rPr>
          <w:rFonts w:hAnsi="標楷體" w:hint="eastAsia"/>
          <w:b/>
        </w:rPr>
        <w:t>進而</w:t>
      </w:r>
      <w:r w:rsidR="003B77F3" w:rsidRPr="00A66D33">
        <w:rPr>
          <w:rFonts w:hAnsi="標楷體" w:hint="eastAsia"/>
          <w:b/>
        </w:rPr>
        <w:t>破壞權力分立制度</w:t>
      </w:r>
      <w:r w:rsidRPr="00A66D33">
        <w:rPr>
          <w:rFonts w:hint="eastAsia"/>
        </w:rPr>
        <w:t>：</w:t>
      </w:r>
    </w:p>
    <w:p w:rsidR="003858F4" w:rsidRPr="00A66D33" w:rsidRDefault="003858F4" w:rsidP="00E90E6F">
      <w:pPr>
        <w:pStyle w:val="3"/>
        <w:rPr>
          <w:b/>
        </w:rPr>
      </w:pPr>
      <w:r w:rsidRPr="00A66D33">
        <w:rPr>
          <w:rFonts w:hint="eastAsia"/>
          <w:b/>
        </w:rPr>
        <w:t>法令違憲審查權構成司法權核心事項</w:t>
      </w:r>
      <w:r w:rsidR="00D37C03" w:rsidRPr="00A66D33">
        <w:rPr>
          <w:rFonts w:hAnsi="標楷體" w:hint="eastAsia"/>
          <w:b/>
        </w:rPr>
        <w:t>，</w:t>
      </w:r>
      <w:r w:rsidR="00D37C03" w:rsidRPr="00A66D33">
        <w:rPr>
          <w:rFonts w:hint="eastAsia"/>
          <w:b/>
        </w:rPr>
        <w:t>不容司法權任意退縮</w:t>
      </w:r>
      <w:r w:rsidRPr="00A66D33">
        <w:rPr>
          <w:rFonts w:hAnsi="標楷體" w:hint="eastAsia"/>
          <w:b/>
        </w:rPr>
        <w:t>。</w:t>
      </w:r>
    </w:p>
    <w:p w:rsidR="003858F4" w:rsidRPr="00A66D33" w:rsidRDefault="003858F4" w:rsidP="00D37C03">
      <w:pPr>
        <w:pStyle w:val="32"/>
        <w:ind w:left="1361" w:firstLine="680"/>
      </w:pPr>
      <w:r w:rsidRPr="00A66D33">
        <w:rPr>
          <w:rFonts w:hint="eastAsia"/>
        </w:rPr>
        <w:t>違憲法規審查權就是審查法律或命令及任何法規範有沒有違背憲法。這又可分為：（1）法律牴觸憲法的審查。（2）命令牴觸憲法的審查。（3）地方自治法規牴觸憲法的審查。（4）條約有無牴觸憲法的審查。（5）行憲以前的法律或解釋有無牴觸憲法的審查。（6）理論上亦得審查法律或命令之統一解釋是否牴觸憲法</w:t>
      </w:r>
      <w:r w:rsidRPr="00A66D33">
        <w:rPr>
          <w:rStyle w:val="aff"/>
        </w:rPr>
        <w:footnoteReference w:id="2"/>
      </w:r>
      <w:r w:rsidRPr="00A66D33">
        <w:rPr>
          <w:rFonts w:hAnsi="標楷體" w:hint="eastAsia"/>
        </w:rPr>
        <w:t>。</w:t>
      </w:r>
      <w:r w:rsidR="009D103A" w:rsidRPr="00A66D33">
        <w:rPr>
          <w:rFonts w:hAnsi="標楷體" w:hint="eastAsia"/>
        </w:rPr>
        <w:t>司法院</w:t>
      </w:r>
      <w:r w:rsidRPr="00A66D33">
        <w:rPr>
          <w:rFonts w:hint="eastAsia"/>
        </w:rPr>
        <w:t>翁岳生</w:t>
      </w:r>
      <w:r w:rsidR="009D103A" w:rsidRPr="00A66D33">
        <w:rPr>
          <w:rFonts w:hint="eastAsia"/>
        </w:rPr>
        <w:t>前</w:t>
      </w:r>
      <w:r w:rsidRPr="00A66D33">
        <w:rPr>
          <w:rFonts w:hint="eastAsia"/>
        </w:rPr>
        <w:t>院長就法令違憲審查權</w:t>
      </w:r>
      <w:r w:rsidR="00D37C03" w:rsidRPr="00A66D33">
        <w:rPr>
          <w:rFonts w:hint="eastAsia"/>
        </w:rPr>
        <w:t>認為具有</w:t>
      </w:r>
      <w:r w:rsidR="00D37C03" w:rsidRPr="00A66D33">
        <w:rPr>
          <w:rFonts w:hAnsi="標楷體" w:hint="eastAsia"/>
        </w:rPr>
        <w:t>「維護憲法、保障憲法，防止國家機關牴觸憲法」並</w:t>
      </w:r>
      <w:r w:rsidRPr="00A66D33">
        <w:rPr>
          <w:rFonts w:hint="eastAsia"/>
        </w:rPr>
        <w:t>闡述稱</w:t>
      </w:r>
      <w:r w:rsidRPr="00A66D33">
        <w:rPr>
          <w:rFonts w:hAnsi="標楷體" w:hint="eastAsia"/>
        </w:rPr>
        <w:t>：「</w:t>
      </w:r>
      <w:r w:rsidRPr="00A66D33">
        <w:rPr>
          <w:rFonts w:hint="eastAsia"/>
        </w:rPr>
        <w:t>這就是剛才所談的法律、命令的違憲審查權。假使有違憲的法律、命令或判例，就透過解釋來宣告其無效。這種解釋現在越來越多。早期的釋字第</w:t>
      </w:r>
      <w:r w:rsidR="00037F82" w:rsidRPr="00A66D33">
        <w:rPr>
          <w:rFonts w:hint="eastAsia"/>
        </w:rPr>
        <w:t>86</w:t>
      </w:r>
      <w:r w:rsidRPr="00A66D33">
        <w:rPr>
          <w:rFonts w:hint="eastAsia"/>
        </w:rPr>
        <w:t>號解釋</w:t>
      </w:r>
      <w:r w:rsidR="00037F82" w:rsidRPr="00A66D33">
        <w:rPr>
          <w:rFonts w:hint="eastAsia"/>
        </w:rPr>
        <w:t>『</w:t>
      </w:r>
      <w:r w:rsidRPr="00A66D33">
        <w:rPr>
          <w:rFonts w:hint="eastAsia"/>
        </w:rPr>
        <w:t>高等法院以下</w:t>
      </w:r>
      <w:r w:rsidRPr="00A66D33">
        <w:rPr>
          <w:rFonts w:hint="eastAsia"/>
        </w:rPr>
        <w:lastRenderedPageBreak/>
        <w:t>各級法院既分掌民事、刑事訴訟之審判，自亦應隸屬於司法院</w:t>
      </w:r>
      <w:r w:rsidR="00037F82" w:rsidRPr="00A66D33">
        <w:rPr>
          <w:rFonts w:hint="eastAsia"/>
        </w:rPr>
        <w:t>』</w:t>
      </w:r>
      <w:r w:rsidRPr="00A66D33">
        <w:rPr>
          <w:rFonts w:hint="eastAsia"/>
        </w:rPr>
        <w:t>，這裏雖然沒有明文宣告有關法律違背憲法，但是其意旨我們顯然可以了解，這是屬於這一類性質的解釋。釋字第</w:t>
      </w:r>
      <w:r w:rsidR="00037F82" w:rsidRPr="00A66D33">
        <w:rPr>
          <w:rFonts w:hint="eastAsia"/>
        </w:rPr>
        <w:t>166</w:t>
      </w:r>
      <w:r w:rsidRPr="00A66D33">
        <w:rPr>
          <w:rFonts w:hint="eastAsia"/>
        </w:rPr>
        <w:t>號解釋</w:t>
      </w:r>
      <w:r w:rsidR="00037F82" w:rsidRPr="00A66D33">
        <w:rPr>
          <w:rFonts w:hint="eastAsia"/>
        </w:rPr>
        <w:t>『</w:t>
      </w:r>
      <w:r w:rsidRPr="00A66D33">
        <w:rPr>
          <w:rFonts w:hint="eastAsia"/>
        </w:rPr>
        <w:t>違警罰法規定，由警察官署裁決之拘留、罰役，係關於人民身體自由所為之處罰，應迅改由法院依法定程序為之，以符憲法第</w:t>
      </w:r>
      <w:r w:rsidR="00037F82" w:rsidRPr="00A66D33">
        <w:rPr>
          <w:rFonts w:hint="eastAsia"/>
        </w:rPr>
        <w:t>8</w:t>
      </w:r>
      <w:r w:rsidRPr="00A66D33">
        <w:rPr>
          <w:rFonts w:hint="eastAsia"/>
        </w:rPr>
        <w:t>條第</w:t>
      </w:r>
      <w:r w:rsidR="00037F82" w:rsidRPr="00A66D33">
        <w:rPr>
          <w:rFonts w:hint="eastAsia"/>
        </w:rPr>
        <w:t>1</w:t>
      </w:r>
      <w:r w:rsidRPr="00A66D33">
        <w:rPr>
          <w:rFonts w:hint="eastAsia"/>
        </w:rPr>
        <w:t>項之本旨</w:t>
      </w:r>
      <w:r w:rsidR="00037F82" w:rsidRPr="00A66D33">
        <w:rPr>
          <w:rFonts w:hint="eastAsia"/>
        </w:rPr>
        <w:t>』</w:t>
      </w:r>
      <w:r w:rsidRPr="00A66D33">
        <w:rPr>
          <w:rFonts w:hint="eastAsia"/>
        </w:rPr>
        <w:t>。這個解釋也是屬於這一類。就其他的來說，現在有一些判例被認為不可以再援用，例如釋字第</w:t>
      </w:r>
      <w:r w:rsidR="00037F82" w:rsidRPr="00A66D33">
        <w:rPr>
          <w:rFonts w:hint="eastAsia"/>
        </w:rPr>
        <w:t>177</w:t>
      </w:r>
      <w:r w:rsidRPr="00A66D33">
        <w:rPr>
          <w:rFonts w:hint="eastAsia"/>
        </w:rPr>
        <w:t>號、第</w:t>
      </w:r>
      <w:r w:rsidR="00037F82" w:rsidRPr="00A66D33">
        <w:rPr>
          <w:rFonts w:hint="eastAsia"/>
        </w:rPr>
        <w:t>185</w:t>
      </w:r>
      <w:r w:rsidRPr="00A66D33">
        <w:rPr>
          <w:rFonts w:hint="eastAsia"/>
        </w:rPr>
        <w:t>號解釋某判例應不予援用，又釋字第</w:t>
      </w:r>
      <w:r w:rsidR="00037F82" w:rsidRPr="00A66D33">
        <w:rPr>
          <w:rFonts w:hint="eastAsia"/>
        </w:rPr>
        <w:t>187</w:t>
      </w:r>
      <w:r w:rsidRPr="00A66D33">
        <w:rPr>
          <w:rFonts w:hint="eastAsia"/>
        </w:rPr>
        <w:t>號解釋中，以前司法院的兩個解釋被變更，行政法院的一個判例被認為不能再援用，雖未明白宣告其違背憲法，祇說不能再援用，也就是剝奪其效力。</w:t>
      </w:r>
      <w:r w:rsidRPr="00A66D33">
        <w:rPr>
          <w:rFonts w:hint="eastAsia"/>
          <w:b/>
        </w:rPr>
        <w:t>這就是維護憲法，使國家機關的法令能夠符合憲法意旨的功能。</w:t>
      </w:r>
      <w:r w:rsidR="00D37C03" w:rsidRPr="00A66D33">
        <w:rPr>
          <w:rFonts w:hAnsi="標楷體" w:hint="eastAsia"/>
        </w:rPr>
        <w:t>」</w:t>
      </w:r>
      <w:r w:rsidR="00D37C03" w:rsidRPr="00A66D33">
        <w:rPr>
          <w:rStyle w:val="aff"/>
          <w:rFonts w:hAnsi="標楷體"/>
        </w:rPr>
        <w:footnoteReference w:id="3"/>
      </w:r>
      <w:r w:rsidR="00D37C03" w:rsidRPr="00A66D33">
        <w:rPr>
          <w:rFonts w:hAnsi="標楷體" w:hint="eastAsia"/>
        </w:rPr>
        <w:t>、「</w:t>
      </w:r>
      <w:r w:rsidRPr="00A66D33">
        <w:rPr>
          <w:rFonts w:hint="eastAsia"/>
        </w:rPr>
        <w:t>最後要談的，就是希望大家對司法權要有正確的認識。我國有些人不是輕視就是恐懼司法權，但在美國有所謂</w:t>
      </w:r>
      <w:r w:rsidR="00037F82" w:rsidRPr="00A66D33">
        <w:rPr>
          <w:rFonts w:hint="eastAsia"/>
        </w:rPr>
        <w:t>『</w:t>
      </w:r>
      <w:r w:rsidRPr="00A66D33">
        <w:rPr>
          <w:rFonts w:hint="eastAsia"/>
        </w:rPr>
        <w:t>司法優越</w:t>
      </w:r>
      <w:r w:rsidR="00037F82" w:rsidRPr="00A66D33">
        <w:rPr>
          <w:rFonts w:hint="eastAsia"/>
        </w:rPr>
        <w:t>』</w:t>
      </w:r>
      <w:r w:rsidRPr="00A66D33">
        <w:rPr>
          <w:rFonts w:hint="eastAsia"/>
        </w:rPr>
        <w:t>，在德國學者也有所謂</w:t>
      </w:r>
      <w:r w:rsidR="00037F82" w:rsidRPr="00A66D33">
        <w:rPr>
          <w:rFonts w:hint="eastAsia"/>
        </w:rPr>
        <w:t>『</w:t>
      </w:r>
      <w:r w:rsidRPr="00A66D33">
        <w:rPr>
          <w:rFonts w:hint="eastAsia"/>
        </w:rPr>
        <w:t>司法國家</w:t>
      </w:r>
      <w:r w:rsidR="00037F82" w:rsidRPr="00A66D33">
        <w:rPr>
          <w:rFonts w:hint="eastAsia"/>
        </w:rPr>
        <w:t>』，</w:t>
      </w:r>
      <w:r w:rsidRPr="00A66D33">
        <w:rPr>
          <w:rFonts w:hint="eastAsia"/>
        </w:rPr>
        <w:t>之說法，</w:t>
      </w:r>
      <w:r w:rsidRPr="00A66D33">
        <w:rPr>
          <w:rFonts w:hint="eastAsia"/>
          <w:b/>
        </w:rPr>
        <w:t>司法的優越主要是在其憲法解釋權，即法律或命令有沒有違背憲法，最後要由憲法解釋機關來解釋、宣告。憲法的解釋會造成司法的優越，但是國內已經有人對於司法優越感到恐慌，看到司法院現在發揮了一點憲法上應有的功能就會感到害怕，</w:t>
      </w:r>
      <w:r w:rsidRPr="00A66D33">
        <w:rPr>
          <w:rFonts w:hint="eastAsia"/>
          <w:b/>
          <w:u w:val="single"/>
        </w:rPr>
        <w:t>所以有些機關開始設法儘量減少或阻止聲請司法院解釋。</w:t>
      </w:r>
      <w:r w:rsidRPr="00A66D33">
        <w:rPr>
          <w:rFonts w:hint="eastAsia"/>
          <w:b/>
        </w:rPr>
        <w:t>其實，這種觀念不一定是正確的。真正的法治國家，應該有個超然的機關來維護其憲法，宣告違憲之法律或命令無效，這樣才叫做</w:t>
      </w:r>
      <w:r w:rsidR="00037F82" w:rsidRPr="00A66D33">
        <w:rPr>
          <w:rFonts w:hint="eastAsia"/>
        </w:rPr>
        <w:t>『</w:t>
      </w:r>
      <w:r w:rsidRPr="00A66D33">
        <w:rPr>
          <w:rFonts w:hint="eastAsia"/>
          <w:b/>
        </w:rPr>
        <w:t>實質意義的法治國家</w:t>
      </w:r>
      <w:r w:rsidR="00037F82" w:rsidRPr="00A66D33">
        <w:rPr>
          <w:rFonts w:hint="eastAsia"/>
        </w:rPr>
        <w:t>』，</w:t>
      </w:r>
      <w:r w:rsidRPr="00A66D33">
        <w:rPr>
          <w:rFonts w:hint="eastAsia"/>
          <w:b/>
        </w:rPr>
        <w:t>。並不是說一個國</w:t>
      </w:r>
      <w:r w:rsidR="00CB00DD" w:rsidRPr="00A66D33">
        <w:rPr>
          <w:rFonts w:hint="eastAsia"/>
          <w:b/>
        </w:rPr>
        <w:t>家有法律或命令，大家都遵守法律或命令來做，這</w:t>
      </w:r>
      <w:r w:rsidR="00CB00DD" w:rsidRPr="00A66D33">
        <w:rPr>
          <w:rFonts w:hint="eastAsia"/>
          <w:b/>
        </w:rPr>
        <w:lastRenderedPageBreak/>
        <w:t>樣就是法治國家，這僅</w:t>
      </w:r>
      <w:r w:rsidRPr="00A66D33">
        <w:rPr>
          <w:rFonts w:hint="eastAsia"/>
          <w:b/>
        </w:rPr>
        <w:t>是</w:t>
      </w:r>
      <w:r w:rsidR="00037F82" w:rsidRPr="00A66D33">
        <w:rPr>
          <w:rFonts w:hint="eastAsia"/>
        </w:rPr>
        <w:t>『</w:t>
      </w:r>
      <w:r w:rsidRPr="00A66D33">
        <w:rPr>
          <w:rFonts w:hint="eastAsia"/>
          <w:b/>
        </w:rPr>
        <w:t>形式意義的法治國家</w:t>
      </w:r>
      <w:r w:rsidR="00037F82" w:rsidRPr="00A66D33">
        <w:rPr>
          <w:rFonts w:hint="eastAsia"/>
        </w:rPr>
        <w:t>』</w:t>
      </w:r>
      <w:r w:rsidRPr="00A66D33">
        <w:rPr>
          <w:rFonts w:hint="eastAsia"/>
          <w:b/>
        </w:rPr>
        <w:t>。有些學者認為代表民意之民意機關，經過長久討論與複雜程序，好不容易才通過了一個法律，經總統公布實施，而少數的幾個法官卻能宣告其違憲、無效，這豈不是違背民主的原則？</w:t>
      </w:r>
      <w:r w:rsidR="00600066" w:rsidRPr="00A66D33">
        <w:rPr>
          <w:rStyle w:val="aff"/>
          <w:b/>
        </w:rPr>
        <w:footnoteReference w:id="4"/>
      </w:r>
      <w:r w:rsidRPr="00A66D33">
        <w:rPr>
          <w:rFonts w:hint="eastAsia"/>
          <w:b/>
        </w:rPr>
        <w:t>在美國，國會也幾度想要制定法律限制法院的這種權利，但都未能成功。我國憲法明白規定我國是一個民主共和國，立法機關制定的法律若違背憲法，必須有個機關能夠</w:t>
      </w:r>
      <w:r w:rsidRPr="00A66D33">
        <w:rPr>
          <w:rFonts w:hint="eastAsia"/>
          <w:b/>
        </w:rPr>
        <w:lastRenderedPageBreak/>
        <w:t>來維護憲法，所以憲法的解釋機關現在被稱為</w:t>
      </w:r>
      <w:r w:rsidR="00037F82" w:rsidRPr="00A66D33">
        <w:rPr>
          <w:rFonts w:hint="eastAsia"/>
        </w:rPr>
        <w:t>『</w:t>
      </w:r>
      <w:r w:rsidRPr="00A66D33">
        <w:rPr>
          <w:rFonts w:hint="eastAsia"/>
          <w:b/>
        </w:rPr>
        <w:t>憲法的維護者</w:t>
      </w:r>
      <w:r w:rsidR="00037F82" w:rsidRPr="00A66D33">
        <w:rPr>
          <w:rFonts w:hint="eastAsia"/>
        </w:rPr>
        <w:t>』</w:t>
      </w:r>
      <w:r w:rsidRPr="00A66D33">
        <w:rPr>
          <w:rFonts w:hint="eastAsia"/>
          <w:b/>
        </w:rPr>
        <w:t>。</w:t>
      </w:r>
      <w:r w:rsidRPr="00A66D33">
        <w:rPr>
          <w:rFonts w:hint="eastAsia"/>
        </w:rPr>
        <w:t>過去有一些國家認為由立法機關來維護憲法就好了，但是現在不少國家都讓司法權來維護憲法，……</w:t>
      </w:r>
      <w:r w:rsidR="00D37C03" w:rsidRPr="00A66D33">
        <w:rPr>
          <w:rFonts w:hAnsi="標楷體" w:hint="eastAsia"/>
        </w:rPr>
        <w:t>」</w:t>
      </w:r>
      <w:r w:rsidR="00D37C03" w:rsidRPr="00A66D33">
        <w:rPr>
          <w:rStyle w:val="aff"/>
          <w:rFonts w:hAnsi="標楷體"/>
        </w:rPr>
        <w:footnoteReference w:id="5"/>
      </w:r>
    </w:p>
    <w:p w:rsidR="00F04C1B" w:rsidRPr="00A66D33" w:rsidRDefault="00F04C1B" w:rsidP="00F04C1B">
      <w:pPr>
        <w:pStyle w:val="3"/>
      </w:pPr>
      <w:r w:rsidRPr="00A66D33">
        <w:rPr>
          <w:rFonts w:hint="eastAsia"/>
        </w:rPr>
        <w:t>司法院大法官</w:t>
      </w:r>
      <w:r w:rsidR="009D103A" w:rsidRPr="00A66D33">
        <w:rPr>
          <w:rFonts w:ascii="Arial" w:cs="Arial"/>
          <w:shd w:val="clear" w:color="auto" w:fill="FFFFFF"/>
        </w:rPr>
        <w:t>審理</w:t>
      </w:r>
      <w:r w:rsidRPr="00A66D33">
        <w:rPr>
          <w:rFonts w:hint="eastAsia"/>
        </w:rPr>
        <w:t>案件法第5條第1項第1款規定，「適用法律命令發生有無牴觸憲法」從</w:t>
      </w:r>
      <w:r w:rsidR="00BA4D2A" w:rsidRPr="00A66D33">
        <w:rPr>
          <w:rFonts w:hint="eastAsia"/>
        </w:rPr>
        <w:t>該</w:t>
      </w:r>
      <w:r w:rsidRPr="00A66D33">
        <w:rPr>
          <w:rFonts w:hint="eastAsia"/>
        </w:rPr>
        <w:t>文字結構而言</w:t>
      </w:r>
      <w:r w:rsidRPr="00A66D33">
        <w:rPr>
          <w:rFonts w:hAnsi="標楷體" w:hint="eastAsia"/>
        </w:rPr>
        <w:t>，</w:t>
      </w:r>
      <w:r w:rsidRPr="00A66D33">
        <w:rPr>
          <w:rFonts w:hint="eastAsia"/>
        </w:rPr>
        <w:t>未必</w:t>
      </w:r>
      <w:r w:rsidR="00732D4C" w:rsidRPr="00A66D33">
        <w:rPr>
          <w:rFonts w:hint="eastAsia"/>
        </w:rPr>
        <w:t>當然</w:t>
      </w:r>
      <w:r w:rsidRPr="00A66D33">
        <w:rPr>
          <w:rFonts w:hint="eastAsia"/>
        </w:rPr>
        <w:t>與憲法上之分權結構有關</w:t>
      </w:r>
      <w:r w:rsidRPr="00A66D33">
        <w:rPr>
          <w:rFonts w:hAnsi="標楷體" w:hint="eastAsia"/>
        </w:rPr>
        <w:t>，</w:t>
      </w:r>
      <w:r w:rsidR="00CB00DD" w:rsidRPr="00A66D33">
        <w:rPr>
          <w:rFonts w:hint="eastAsia"/>
        </w:rPr>
        <w:t>或</w:t>
      </w:r>
      <w:r w:rsidRPr="00A66D33">
        <w:rPr>
          <w:rFonts w:hint="eastAsia"/>
        </w:rPr>
        <w:t>可區分為</w:t>
      </w:r>
      <w:r w:rsidRPr="00A66D33">
        <w:rPr>
          <w:rFonts w:hAnsi="標楷體" w:hint="eastAsia"/>
        </w:rPr>
        <w:t>「</w:t>
      </w:r>
      <w:r w:rsidRPr="00A66D33">
        <w:rPr>
          <w:rFonts w:hint="eastAsia"/>
        </w:rPr>
        <w:t>行使憲法上權力</w:t>
      </w:r>
      <w:r w:rsidRPr="00A66D33">
        <w:rPr>
          <w:rFonts w:hAnsi="標楷體" w:hint="eastAsia"/>
        </w:rPr>
        <w:t>，</w:t>
      </w:r>
      <w:r w:rsidRPr="00A66D33">
        <w:rPr>
          <w:rFonts w:hint="eastAsia"/>
        </w:rPr>
        <w:t>適用法令</w:t>
      </w:r>
      <w:r w:rsidRPr="00A66D33">
        <w:rPr>
          <w:rFonts w:hAnsi="標楷體" w:hint="eastAsia"/>
        </w:rPr>
        <w:t>」</w:t>
      </w:r>
      <w:r w:rsidRPr="00A66D33">
        <w:rPr>
          <w:rFonts w:hint="eastAsia"/>
        </w:rPr>
        <w:t>與</w:t>
      </w:r>
      <w:r w:rsidRPr="00A66D33">
        <w:rPr>
          <w:rFonts w:hAnsi="標楷體" w:hint="eastAsia"/>
        </w:rPr>
        <w:t>「</w:t>
      </w:r>
      <w:r w:rsidRPr="00A66D33">
        <w:rPr>
          <w:rFonts w:hint="eastAsia"/>
        </w:rPr>
        <w:t>非行使憲法上權力</w:t>
      </w:r>
      <w:r w:rsidRPr="00A66D33">
        <w:rPr>
          <w:rFonts w:hAnsi="標楷體" w:hint="eastAsia"/>
        </w:rPr>
        <w:t>，</w:t>
      </w:r>
      <w:r w:rsidRPr="00A66D33">
        <w:rPr>
          <w:rFonts w:hint="eastAsia"/>
        </w:rPr>
        <w:t>適用法令</w:t>
      </w:r>
      <w:r w:rsidRPr="00A66D33">
        <w:rPr>
          <w:rFonts w:hAnsi="標楷體" w:hint="eastAsia"/>
        </w:rPr>
        <w:t>」</w:t>
      </w:r>
      <w:r w:rsidRPr="00A66D33">
        <w:rPr>
          <w:rFonts w:hint="eastAsia"/>
        </w:rPr>
        <w:t>兩種情形</w:t>
      </w:r>
      <w:r w:rsidRPr="00A66D33">
        <w:rPr>
          <w:rFonts w:hAnsi="標楷體" w:hint="eastAsia"/>
        </w:rPr>
        <w:t>。</w:t>
      </w:r>
    </w:p>
    <w:p w:rsidR="00C7631F" w:rsidRPr="00A66D33" w:rsidRDefault="00923709" w:rsidP="00EC055A">
      <w:pPr>
        <w:pStyle w:val="32"/>
        <w:ind w:left="1361" w:firstLine="680"/>
        <w:rPr>
          <w:rFonts w:hAnsi="標楷體"/>
          <w:b/>
        </w:rPr>
      </w:pPr>
      <w:r w:rsidRPr="00A66D33">
        <w:rPr>
          <w:rFonts w:hint="eastAsia"/>
        </w:rPr>
        <w:t>憲法第171條規定</w:t>
      </w:r>
      <w:r w:rsidR="00E90E6F" w:rsidRPr="00A66D33">
        <w:rPr>
          <w:rFonts w:hAnsi="標楷體" w:hint="eastAsia"/>
        </w:rPr>
        <w:t>：「</w:t>
      </w:r>
      <w:r w:rsidRPr="00A66D33">
        <w:rPr>
          <w:rFonts w:hint="eastAsia"/>
        </w:rPr>
        <w:t>法律與憲法牴觸者無效。法律與憲法有無牴觸發生疑義時，由司法院解釋之。</w:t>
      </w:r>
      <w:r w:rsidR="00E90E6F" w:rsidRPr="00A66D33">
        <w:rPr>
          <w:rFonts w:hAnsi="標楷體" w:hint="eastAsia"/>
        </w:rPr>
        <w:t>」憲法第</w:t>
      </w:r>
      <w:r w:rsidRPr="00A66D33">
        <w:rPr>
          <w:rFonts w:hint="eastAsia"/>
        </w:rPr>
        <w:t>173條</w:t>
      </w:r>
      <w:r w:rsidR="00E90E6F" w:rsidRPr="00A66D33">
        <w:rPr>
          <w:rFonts w:hint="eastAsia"/>
        </w:rPr>
        <w:t>規定</w:t>
      </w:r>
      <w:r w:rsidR="00E90E6F" w:rsidRPr="00A66D33">
        <w:rPr>
          <w:rFonts w:hAnsi="標楷體" w:hint="eastAsia"/>
        </w:rPr>
        <w:t>：「</w:t>
      </w:r>
      <w:r w:rsidRPr="00A66D33">
        <w:rPr>
          <w:rFonts w:hint="eastAsia"/>
        </w:rPr>
        <w:t>憲法之解釋，由司法院為之。</w:t>
      </w:r>
      <w:r w:rsidR="00E90E6F" w:rsidRPr="00A66D33">
        <w:rPr>
          <w:rFonts w:hAnsi="標楷體" w:hint="eastAsia"/>
        </w:rPr>
        <w:t>」</w:t>
      </w:r>
      <w:r w:rsidR="00E90E6F" w:rsidRPr="00A66D33">
        <w:rPr>
          <w:rFonts w:hint="eastAsia"/>
        </w:rPr>
        <w:t>查</w:t>
      </w:r>
      <w:r w:rsidR="00C7631F" w:rsidRPr="00A66D33">
        <w:rPr>
          <w:rFonts w:hint="eastAsia"/>
        </w:rPr>
        <w:t>司法院大法官</w:t>
      </w:r>
      <w:r w:rsidR="009D103A" w:rsidRPr="00A66D33">
        <w:rPr>
          <w:rFonts w:ascii="Arial" w:cs="Arial"/>
          <w:shd w:val="clear" w:color="auto" w:fill="FFFFFF"/>
        </w:rPr>
        <w:t>審理</w:t>
      </w:r>
      <w:r w:rsidR="00C7631F" w:rsidRPr="00A66D33">
        <w:rPr>
          <w:rFonts w:hint="eastAsia"/>
        </w:rPr>
        <w:t>案件法第5條第1項第1款規定</w:t>
      </w:r>
      <w:r w:rsidR="00C7631F" w:rsidRPr="00A66D33">
        <w:rPr>
          <w:rFonts w:hAnsi="標楷體" w:hint="eastAsia"/>
        </w:rPr>
        <w:t>，</w:t>
      </w:r>
      <w:r w:rsidR="00C7631F" w:rsidRPr="00A66D33">
        <w:rPr>
          <w:rFonts w:hint="eastAsia"/>
        </w:rPr>
        <w:t>源於</w:t>
      </w:r>
      <w:r w:rsidR="009E7F1D" w:rsidRPr="00A66D33">
        <w:rPr>
          <w:rFonts w:hint="eastAsia"/>
        </w:rPr>
        <w:t>民國</w:t>
      </w:r>
      <w:r w:rsidR="009E7F1D" w:rsidRPr="00A66D33">
        <w:rPr>
          <w:rFonts w:hAnsi="標楷體" w:hint="eastAsia"/>
        </w:rPr>
        <w:t>（下同）</w:t>
      </w:r>
      <w:r w:rsidR="00C7631F" w:rsidRPr="00A66D33">
        <w:rPr>
          <w:rFonts w:hint="eastAsia"/>
        </w:rPr>
        <w:t>37年9月16日公布之司法院大法官會議規則</w:t>
      </w:r>
      <w:r w:rsidR="009E7F1D" w:rsidRPr="00A66D33">
        <w:rPr>
          <w:rFonts w:hAnsi="標楷體" w:hint="eastAsia"/>
        </w:rPr>
        <w:t>（下稱會議規則）</w:t>
      </w:r>
      <w:r w:rsidR="00C7631F" w:rsidRPr="00A66D33">
        <w:rPr>
          <w:rFonts w:hint="eastAsia"/>
        </w:rPr>
        <w:t>第3條規定：「中央或地方機關</w:t>
      </w:r>
      <w:r w:rsidR="00C7631F" w:rsidRPr="00A66D33">
        <w:rPr>
          <w:rFonts w:hint="eastAsia"/>
          <w:b/>
        </w:rPr>
        <w:t>於其職權上</w:t>
      </w:r>
      <w:r w:rsidR="00C7631F" w:rsidRPr="00A66D33">
        <w:rPr>
          <w:rFonts w:hint="eastAsia"/>
        </w:rPr>
        <w:t>適用憲法，發生疑義，或</w:t>
      </w:r>
      <w:r w:rsidR="00C7631F" w:rsidRPr="00A66D33">
        <w:rPr>
          <w:rFonts w:hint="eastAsia"/>
          <w:b/>
        </w:rPr>
        <w:t>適用法律命令發生有無牴觸憲法</w:t>
      </w:r>
      <w:r w:rsidR="00C7631F" w:rsidRPr="00A66D33">
        <w:rPr>
          <w:rFonts w:hint="eastAsia"/>
        </w:rPr>
        <w:t>之疑義時，得聲請解釋。」</w:t>
      </w:r>
      <w:r w:rsidR="009E7F1D" w:rsidRPr="00A66D33">
        <w:rPr>
          <w:rFonts w:hint="eastAsia"/>
        </w:rPr>
        <w:t>47年7月21日公布之</w:t>
      </w:r>
      <w:r w:rsidR="00C7631F" w:rsidRPr="00A66D33">
        <w:rPr>
          <w:rFonts w:hint="eastAsia"/>
        </w:rPr>
        <w:t>司法院大法官會議法</w:t>
      </w:r>
      <w:r w:rsidR="009E7F1D" w:rsidRPr="00A66D33">
        <w:rPr>
          <w:rFonts w:hAnsi="標楷體" w:hint="eastAsia"/>
        </w:rPr>
        <w:t>（下稱會議法）</w:t>
      </w:r>
      <w:r w:rsidR="00C7631F" w:rsidRPr="00A66D33">
        <w:rPr>
          <w:rFonts w:hint="eastAsia"/>
        </w:rPr>
        <w:t>第4條第1項第1款規定：「中央或地方機關於其行使職權適用憲法發生疑義，或因行使職權與其他機關之職權發生適用憲法之爭議，或適用法律與命令發生有牴觸憲法之疑義者。」</w:t>
      </w:r>
      <w:r w:rsidR="009E7F1D" w:rsidRPr="00A66D33">
        <w:rPr>
          <w:rFonts w:hint="eastAsia"/>
        </w:rPr>
        <w:t>82年2月3日</w:t>
      </w:r>
      <w:r w:rsidR="00B27517" w:rsidRPr="00A66D33">
        <w:rPr>
          <w:rFonts w:hint="eastAsia"/>
        </w:rPr>
        <w:t>修正</w:t>
      </w:r>
      <w:r w:rsidR="009E7F1D" w:rsidRPr="00A66D33">
        <w:rPr>
          <w:rFonts w:hint="eastAsia"/>
        </w:rPr>
        <w:t>公布之</w:t>
      </w:r>
      <w:r w:rsidR="00C7631F" w:rsidRPr="00A66D33">
        <w:rPr>
          <w:rFonts w:hint="eastAsia"/>
        </w:rPr>
        <w:t>司法院大法官</w:t>
      </w:r>
      <w:r w:rsidR="00B27517" w:rsidRPr="00A66D33">
        <w:rPr>
          <w:rFonts w:hint="eastAsia"/>
        </w:rPr>
        <w:t>審理</w:t>
      </w:r>
      <w:r w:rsidR="00C7631F" w:rsidRPr="00A66D33">
        <w:rPr>
          <w:rFonts w:hint="eastAsia"/>
        </w:rPr>
        <w:t>案件法第5條第1項第1款規定：「一、中央或地方機關，於其行使職權，適用憲法發生疑義，或因行使職權與其他機關之職權，發生適用憲法之爭議，或適用法律與命令發生有牴觸憲法之疑義者。」</w:t>
      </w:r>
      <w:r w:rsidR="009D57B2" w:rsidRPr="00A66D33">
        <w:rPr>
          <w:rFonts w:hint="eastAsia"/>
        </w:rPr>
        <w:t>從上開條文可知37年</w:t>
      </w:r>
      <w:r w:rsidR="009E7F1D" w:rsidRPr="00A66D33">
        <w:rPr>
          <w:rFonts w:hint="eastAsia"/>
        </w:rPr>
        <w:t>會議</w:t>
      </w:r>
      <w:r w:rsidR="009D57B2" w:rsidRPr="00A66D33">
        <w:rPr>
          <w:rFonts w:hint="eastAsia"/>
        </w:rPr>
        <w:t>規則為</w:t>
      </w:r>
      <w:r w:rsidR="009D57B2" w:rsidRPr="00A66D33">
        <w:rPr>
          <w:rFonts w:hAnsi="標楷體" w:hint="eastAsia"/>
        </w:rPr>
        <w:t>「於其職權上適用憲法」、「適</w:t>
      </w:r>
      <w:r w:rsidR="009D57B2" w:rsidRPr="00A66D33">
        <w:rPr>
          <w:rFonts w:hAnsi="標楷體" w:hint="eastAsia"/>
        </w:rPr>
        <w:lastRenderedPageBreak/>
        <w:t>用法律命令發生有無牴觸憲法」迄至會議法改為「其行使職權適用憲法發生疑義」、「因行使職權與其他機關之職權，發生適用憲法之爭議」與</w:t>
      </w:r>
      <w:r w:rsidR="009D57B2" w:rsidRPr="00A66D33">
        <w:rPr>
          <w:rFonts w:hAnsi="標楷體" w:hint="eastAsia"/>
          <w:b/>
        </w:rPr>
        <w:t>「適用法律命令發生有無牴觸憲法之疑義」</w:t>
      </w:r>
      <w:r w:rsidR="009E7F1D" w:rsidRPr="00A66D33">
        <w:rPr>
          <w:rFonts w:hAnsi="標楷體" w:hint="eastAsia"/>
          <w:b/>
        </w:rPr>
        <w:t>。</w:t>
      </w:r>
      <w:r w:rsidR="00BA4D2A" w:rsidRPr="00A66D33">
        <w:rPr>
          <w:rFonts w:hAnsi="標楷體" w:hint="eastAsia"/>
          <w:b/>
        </w:rPr>
        <w:t>從文字結構而言，適用法律命令發生有無牴觸憲法之疑義，並非必</w:t>
      </w:r>
      <w:r w:rsidRPr="00A66D33">
        <w:rPr>
          <w:rFonts w:hAnsi="標楷體" w:hint="eastAsia"/>
          <w:b/>
        </w:rPr>
        <w:t>與「行使職權」有關，此從「因行使職權與其他機關之職</w:t>
      </w:r>
      <w:r w:rsidRPr="00A66D33">
        <w:rPr>
          <w:rFonts w:hint="eastAsia"/>
          <w:szCs w:val="48"/>
        </w:rPr>
        <w:t>權，發生適用憲法之爭議」有「行使職權」可知</w:t>
      </w:r>
      <w:r w:rsidR="00E90E6F" w:rsidRPr="00A66D33">
        <w:rPr>
          <w:rFonts w:hint="eastAsia"/>
          <w:szCs w:val="48"/>
        </w:rPr>
        <w:t>，</w:t>
      </w:r>
      <w:r w:rsidR="00E90E6F" w:rsidRPr="00A66D33">
        <w:rPr>
          <w:rFonts w:hAnsi="標楷體" w:hint="eastAsia"/>
          <w:b/>
        </w:rPr>
        <w:t>從而，如中央機關（司法院）</w:t>
      </w:r>
      <w:r w:rsidR="00F04C1B" w:rsidRPr="00A66D33">
        <w:rPr>
          <w:rFonts w:hAnsi="標楷體" w:hint="eastAsia"/>
          <w:b/>
        </w:rPr>
        <w:t>因</w:t>
      </w:r>
      <w:r w:rsidR="00E90E6F" w:rsidRPr="00A66D33">
        <w:rPr>
          <w:rFonts w:hAnsi="標楷體" w:hint="eastAsia"/>
          <w:b/>
        </w:rPr>
        <w:t>辦理公務員退休撫卹，</w:t>
      </w:r>
      <w:r w:rsidR="00F04C1B" w:rsidRPr="00A66D33">
        <w:rPr>
          <w:rFonts w:hAnsi="標楷體" w:hint="eastAsia"/>
          <w:b/>
        </w:rPr>
        <w:t>所行使並非憲法上權力</w:t>
      </w:r>
      <w:r w:rsidR="00CB00DD" w:rsidRPr="00A66D33">
        <w:rPr>
          <w:rFonts w:hAnsi="標楷體" w:hint="eastAsia"/>
          <w:b/>
        </w:rPr>
        <w:t>-司法權</w:t>
      </w:r>
      <w:r w:rsidR="00F04C1B" w:rsidRPr="00A66D33">
        <w:rPr>
          <w:rFonts w:hAnsi="標楷體" w:hint="eastAsia"/>
          <w:b/>
        </w:rPr>
        <w:t>，但</w:t>
      </w:r>
      <w:r w:rsidR="00213217" w:rsidRPr="00A66D33">
        <w:rPr>
          <w:rFonts w:hAnsi="標楷體" w:hint="eastAsia"/>
          <w:b/>
        </w:rPr>
        <w:t>因為在</w:t>
      </w:r>
      <w:r w:rsidR="00CB00DD" w:rsidRPr="00A66D33">
        <w:rPr>
          <w:rFonts w:hAnsi="標楷體" w:hint="eastAsia"/>
          <w:b/>
        </w:rPr>
        <w:t>行政</w:t>
      </w:r>
      <w:r w:rsidR="00213217" w:rsidRPr="00A66D33">
        <w:rPr>
          <w:rFonts w:hAnsi="標楷體" w:hint="eastAsia"/>
          <w:b/>
        </w:rPr>
        <w:t>上</w:t>
      </w:r>
      <w:r w:rsidR="00CB00DD" w:rsidRPr="00A66D33">
        <w:rPr>
          <w:rFonts w:hAnsi="標楷體" w:hint="eastAsia"/>
          <w:b/>
        </w:rPr>
        <w:t>辦理公務員退休撫卹</w:t>
      </w:r>
      <w:r w:rsidR="00F04C1B" w:rsidRPr="00A66D33">
        <w:rPr>
          <w:rFonts w:hAnsi="標楷體" w:hint="eastAsia"/>
          <w:b/>
        </w:rPr>
        <w:t>必</w:t>
      </w:r>
      <w:r w:rsidR="00684EAD" w:rsidRPr="00A66D33">
        <w:rPr>
          <w:rFonts w:hAnsi="標楷體" w:hint="eastAsia"/>
          <w:b/>
        </w:rPr>
        <w:t>須</w:t>
      </w:r>
      <w:r w:rsidR="00E90E6F" w:rsidRPr="00A66D33">
        <w:rPr>
          <w:rFonts w:hAnsi="標楷體" w:hint="eastAsia"/>
          <w:b/>
        </w:rPr>
        <w:t>適用</w:t>
      </w:r>
      <w:r w:rsidR="006A5977" w:rsidRPr="00A66D33">
        <w:rPr>
          <w:rFonts w:hAnsi="標楷體" w:hint="eastAsia"/>
          <w:b/>
        </w:rPr>
        <w:t>107年7月1日所施行之</w:t>
      </w:r>
      <w:r w:rsidR="00E90E6F" w:rsidRPr="00A66D33">
        <w:rPr>
          <w:rFonts w:hAnsi="標楷體" w:hint="eastAsia"/>
          <w:b/>
        </w:rPr>
        <w:t>公務人員退休資遣撫卹法時，自得聲請解釋憲法，</w:t>
      </w:r>
      <w:r w:rsidR="00CB00DD" w:rsidRPr="00A66D33">
        <w:rPr>
          <w:rFonts w:hAnsi="標楷體" w:hint="eastAsia"/>
          <w:b/>
        </w:rPr>
        <w:t>自</w:t>
      </w:r>
      <w:r w:rsidR="00E90E6F" w:rsidRPr="00A66D33">
        <w:rPr>
          <w:rFonts w:hAnsi="標楷體" w:hint="eastAsia"/>
          <w:b/>
        </w:rPr>
        <w:t>不得因非行使</w:t>
      </w:r>
      <w:r w:rsidR="00E133C1" w:rsidRPr="00A66D33">
        <w:rPr>
          <w:rFonts w:hAnsi="標楷體" w:hint="eastAsia"/>
          <w:b/>
        </w:rPr>
        <w:t>司法權</w:t>
      </w:r>
      <w:r w:rsidR="00E90E6F" w:rsidRPr="00A66D33">
        <w:rPr>
          <w:rFonts w:hAnsi="標楷體" w:hint="eastAsia"/>
          <w:b/>
        </w:rPr>
        <w:t>而不受理自明</w:t>
      </w:r>
      <w:r w:rsidR="006A5977" w:rsidRPr="00A66D33">
        <w:rPr>
          <w:rStyle w:val="aff"/>
          <w:rFonts w:hAnsi="標楷體"/>
          <w:b/>
        </w:rPr>
        <w:footnoteReference w:id="6"/>
      </w:r>
      <w:r w:rsidR="00F04C1B" w:rsidRPr="00A66D33">
        <w:rPr>
          <w:rFonts w:hAnsi="標楷體" w:hint="eastAsia"/>
          <w:b/>
        </w:rPr>
        <w:t>，從而，可區分為「行使憲法上權力，適用法令」與「非行使憲法上權力，適用法令」兩種情形。</w:t>
      </w:r>
    </w:p>
    <w:p w:rsidR="00F04C1B" w:rsidRPr="00A66D33" w:rsidRDefault="00F04C1B" w:rsidP="00CD6E8E">
      <w:pPr>
        <w:pStyle w:val="3"/>
        <w:rPr>
          <w:b/>
        </w:rPr>
      </w:pPr>
      <w:r w:rsidRPr="00A66D33">
        <w:rPr>
          <w:rFonts w:hint="eastAsia"/>
          <w:b/>
        </w:rPr>
        <w:t>制憲前有關</w:t>
      </w:r>
      <w:r w:rsidR="00BA4D2A" w:rsidRPr="00A66D33">
        <w:rPr>
          <w:rFonts w:hint="eastAsia"/>
          <w:b/>
        </w:rPr>
        <w:t>法令違憲審查權之發動者</w:t>
      </w:r>
      <w:r w:rsidR="00BA4D2A" w:rsidRPr="00A66D33">
        <w:rPr>
          <w:rFonts w:hAnsi="標楷體" w:hint="eastAsia"/>
          <w:b/>
        </w:rPr>
        <w:t>，</w:t>
      </w:r>
      <w:r w:rsidR="00BA4D2A" w:rsidRPr="00A66D33">
        <w:rPr>
          <w:rFonts w:hint="eastAsia"/>
          <w:b/>
        </w:rPr>
        <w:t>原設計基於監察院為最高監察機關</w:t>
      </w:r>
      <w:r w:rsidR="00BA4D2A" w:rsidRPr="00A66D33">
        <w:rPr>
          <w:rFonts w:hAnsi="標楷體" w:hint="eastAsia"/>
          <w:b/>
        </w:rPr>
        <w:t>，</w:t>
      </w:r>
      <w:r w:rsidR="00BA4D2A" w:rsidRPr="00A66D33">
        <w:rPr>
          <w:rFonts w:hint="eastAsia"/>
          <w:b/>
        </w:rPr>
        <w:t>其專屬於監察院並非無由</w:t>
      </w:r>
      <w:r w:rsidR="00BA4D2A" w:rsidRPr="00A66D33">
        <w:rPr>
          <w:rFonts w:hAnsi="標楷體" w:hint="eastAsia"/>
          <w:b/>
        </w:rPr>
        <w:t>。</w:t>
      </w:r>
    </w:p>
    <w:p w:rsidR="00BA4D2A" w:rsidRPr="00A66D33" w:rsidRDefault="00F83B14" w:rsidP="00BA4D2A">
      <w:pPr>
        <w:pStyle w:val="32"/>
        <w:ind w:left="1361" w:firstLine="680"/>
        <w:rPr>
          <w:rFonts w:hAnsi="標楷體"/>
        </w:rPr>
      </w:pPr>
      <w:r w:rsidRPr="00A66D33">
        <w:rPr>
          <w:rFonts w:hint="eastAsia"/>
        </w:rPr>
        <w:t>34年「國民參政會憲政實施協進會」</w:t>
      </w:r>
      <w:r w:rsidR="00FE188D" w:rsidRPr="00A66D33">
        <w:rPr>
          <w:rStyle w:val="aff"/>
        </w:rPr>
        <w:footnoteReference w:id="7"/>
      </w:r>
      <w:r w:rsidRPr="00A66D33">
        <w:rPr>
          <w:rFonts w:hint="eastAsia"/>
        </w:rPr>
        <w:t>32項意見，就25年</w:t>
      </w:r>
      <w:r w:rsidR="00B27517" w:rsidRPr="00A66D33">
        <w:rPr>
          <w:rFonts w:hint="eastAsia"/>
        </w:rPr>
        <w:t>「</w:t>
      </w:r>
      <w:r w:rsidRPr="00A66D33">
        <w:rPr>
          <w:rFonts w:hint="eastAsia"/>
        </w:rPr>
        <w:t>五五憲草</w:t>
      </w:r>
      <w:r w:rsidR="00B27517" w:rsidRPr="00A66D33">
        <w:rPr>
          <w:rFonts w:hint="eastAsia"/>
        </w:rPr>
        <w:t>」</w:t>
      </w:r>
      <w:r w:rsidRPr="00A66D33">
        <w:rPr>
          <w:rFonts w:hint="eastAsia"/>
        </w:rPr>
        <w:t>中，第30項意見：「憲法第140條第2項『法律與憲法有無牴觸，由監察院於法律施行後6個月內，提請司法院解釋，其詳以法律定之。』刪。第142條修改為『憲法之解釋，由</w:t>
      </w:r>
      <w:r w:rsidRPr="00A66D33">
        <w:rPr>
          <w:rFonts w:hint="eastAsia"/>
        </w:rPr>
        <w:lastRenderedPageBreak/>
        <w:t>司法院依法組織憲法解釋委員會為之』」。</w:t>
      </w:r>
      <w:r w:rsidR="00FE188D" w:rsidRPr="00A66D33">
        <w:rPr>
          <w:rStyle w:val="aff"/>
        </w:rPr>
        <w:footnoteReference w:id="8"/>
      </w:r>
      <w:r w:rsidR="00CD6E8E" w:rsidRPr="00A66D33">
        <w:rPr>
          <w:rFonts w:hint="eastAsia"/>
        </w:rPr>
        <w:t>中華民國憲法制憲前，基於五五憲草理念原訂將法律與憲法牴觸之事項僅專屬於監察院始得聲請</w:t>
      </w:r>
      <w:r w:rsidR="00CA2C14" w:rsidRPr="00A66D33">
        <w:rPr>
          <w:rFonts w:hAnsi="標楷體" w:hint="eastAsia"/>
        </w:rPr>
        <w:t>，</w:t>
      </w:r>
      <w:r w:rsidR="00CA2C14" w:rsidRPr="00A66D33">
        <w:rPr>
          <w:rFonts w:hint="eastAsia"/>
        </w:rPr>
        <w:t>採取抽象法令違憲審查制度</w:t>
      </w:r>
      <w:r w:rsidR="00BA4D2A" w:rsidRPr="00A66D33">
        <w:rPr>
          <w:rFonts w:hAnsi="標楷體" w:hint="eastAsia"/>
        </w:rPr>
        <w:t>，其基於監察院為最高監察機關，其專屬於監察院並非無由。</w:t>
      </w:r>
    </w:p>
    <w:p w:rsidR="00CA2C14" w:rsidRPr="00A66D33" w:rsidRDefault="00CA2C14" w:rsidP="008A0DD5">
      <w:pPr>
        <w:pStyle w:val="3"/>
      </w:pPr>
      <w:r w:rsidRPr="00A66D33">
        <w:rPr>
          <w:rFonts w:hint="eastAsia"/>
        </w:rPr>
        <w:t>另司法院大法官</w:t>
      </w:r>
      <w:r w:rsidR="009D103A" w:rsidRPr="00A66D33">
        <w:rPr>
          <w:rFonts w:ascii="Arial" w:cs="Arial"/>
          <w:shd w:val="clear" w:color="auto" w:fill="FFFFFF"/>
        </w:rPr>
        <w:t>審理</w:t>
      </w:r>
      <w:r w:rsidRPr="00A66D33">
        <w:rPr>
          <w:rFonts w:hint="eastAsia"/>
        </w:rPr>
        <w:t>案件法第5條第1項第1款規定之設計</w:t>
      </w:r>
      <w:r w:rsidRPr="00A66D33">
        <w:rPr>
          <w:rFonts w:hAnsi="標楷體" w:hint="eastAsia"/>
        </w:rPr>
        <w:t>，與德國基本法</w:t>
      </w:r>
      <w:r w:rsidR="00461662" w:rsidRPr="00A66D33">
        <w:rPr>
          <w:rFonts w:hAnsi="標楷體" w:hint="eastAsia"/>
        </w:rPr>
        <w:t>93條</w:t>
      </w:r>
      <w:r w:rsidRPr="00A66D33">
        <w:rPr>
          <w:rFonts w:hAnsi="標楷體" w:hint="eastAsia"/>
        </w:rPr>
        <w:t>第1項第2款</w:t>
      </w:r>
      <w:r w:rsidR="00461662" w:rsidRPr="00A66D33">
        <w:rPr>
          <w:rStyle w:val="aff"/>
          <w:rFonts w:hAnsi="標楷體"/>
        </w:rPr>
        <w:footnoteReference w:id="9"/>
      </w:r>
      <w:r w:rsidRPr="00A66D33">
        <w:rPr>
          <w:rFonts w:hAnsi="標楷體" w:hint="eastAsia"/>
        </w:rPr>
        <w:t>及聯邦憲法法院法第13條第6</w:t>
      </w:r>
      <w:r w:rsidR="008A0DD5" w:rsidRPr="00A66D33">
        <w:rPr>
          <w:rFonts w:hAnsi="標楷體" w:hint="eastAsia"/>
        </w:rPr>
        <w:t>款規定</w:t>
      </w:r>
      <w:r w:rsidR="00105898" w:rsidRPr="00A66D33">
        <w:rPr>
          <w:rStyle w:val="aff"/>
          <w:rFonts w:hAnsi="標楷體"/>
        </w:rPr>
        <w:footnoteReference w:id="10"/>
      </w:r>
      <w:r w:rsidR="008A0DD5" w:rsidRPr="00A66D33">
        <w:rPr>
          <w:rFonts w:hAnsi="標楷體" w:hint="eastAsia"/>
        </w:rPr>
        <w:t>，聯邦政府、邦政府或三分之一以上國會議員，只要對於法律是否違憲產生懷疑或意見不一致，即可提起抽象法規審查</w:t>
      </w:r>
      <w:r w:rsidR="00461662" w:rsidRPr="00A66D33">
        <w:rPr>
          <w:rFonts w:hAnsi="標楷體" w:hint="eastAsia"/>
        </w:rPr>
        <w:t>等</w:t>
      </w:r>
      <w:r w:rsidR="008A0DD5" w:rsidRPr="00A66D33">
        <w:rPr>
          <w:rFonts w:hAnsi="標楷體" w:hint="eastAsia"/>
        </w:rPr>
        <w:t>相同，併予指明。</w:t>
      </w:r>
    </w:p>
    <w:p w:rsidR="00CD6E8E" w:rsidRPr="00A66D33" w:rsidRDefault="009938C9" w:rsidP="00DD1C72">
      <w:pPr>
        <w:pStyle w:val="2"/>
        <w:rPr>
          <w:b/>
        </w:rPr>
      </w:pPr>
      <w:r w:rsidRPr="00A66D33">
        <w:rPr>
          <w:rFonts w:hint="eastAsia"/>
          <w:b/>
        </w:rPr>
        <w:t>本件聲請釋憲係</w:t>
      </w:r>
      <w:r w:rsidR="002452C3" w:rsidRPr="00A66D33">
        <w:rPr>
          <w:rFonts w:hint="eastAsia"/>
          <w:b/>
        </w:rPr>
        <w:t>基於</w:t>
      </w:r>
      <w:r w:rsidR="00BA4D2A" w:rsidRPr="00A66D33">
        <w:rPr>
          <w:rFonts w:hint="eastAsia"/>
          <w:b/>
        </w:rPr>
        <w:t>憲法所賦予監察院之核心權力</w:t>
      </w:r>
      <w:r w:rsidR="00DD1C72" w:rsidRPr="00A66D33">
        <w:rPr>
          <w:rFonts w:hint="eastAsia"/>
          <w:b/>
        </w:rPr>
        <w:t>，</w:t>
      </w:r>
      <w:r w:rsidRPr="00A66D33">
        <w:rPr>
          <w:rFonts w:hint="eastAsia"/>
          <w:b/>
        </w:rPr>
        <w:t>適用「政黨及其附隨組織不當取得財產處理條例」時，發生有牴觸憲法之疑義</w:t>
      </w:r>
      <w:r w:rsidR="00BA4D2A" w:rsidRPr="00A66D33">
        <w:rPr>
          <w:rFonts w:hint="eastAsia"/>
          <w:b/>
        </w:rPr>
        <w:t>，其</w:t>
      </w:r>
      <w:r w:rsidR="003B77F3" w:rsidRPr="00A66D33">
        <w:rPr>
          <w:rFonts w:hint="eastAsia"/>
          <w:b/>
        </w:rPr>
        <w:t>依據</w:t>
      </w:r>
      <w:r w:rsidR="00BA4D2A" w:rsidRPr="00A66D33">
        <w:rPr>
          <w:rFonts w:hint="eastAsia"/>
          <w:b/>
        </w:rPr>
        <w:t>為</w:t>
      </w:r>
      <w:r w:rsidR="00DD1C72" w:rsidRPr="00A66D33">
        <w:rPr>
          <w:rFonts w:hAnsi="標楷體" w:hint="eastAsia"/>
          <w:b/>
        </w:rPr>
        <w:t>憲法第95條與第96</w:t>
      </w:r>
      <w:r w:rsidR="00BA4D2A" w:rsidRPr="00A66D33">
        <w:rPr>
          <w:rFonts w:hAnsi="標楷體" w:hint="eastAsia"/>
          <w:b/>
        </w:rPr>
        <w:t>條之職權，就行政權之</w:t>
      </w:r>
      <w:r w:rsidR="00545059" w:rsidRPr="00A66D33">
        <w:rPr>
          <w:rFonts w:hAnsi="標楷體" w:hint="eastAsia"/>
          <w:b/>
        </w:rPr>
        <w:t>違法與失職而為</w:t>
      </w:r>
      <w:r w:rsidR="00DD1C72" w:rsidRPr="00A66D33">
        <w:rPr>
          <w:rFonts w:hAnsi="標楷體" w:hint="eastAsia"/>
          <w:b/>
        </w:rPr>
        <w:t>監督，</w:t>
      </w:r>
      <w:r w:rsidR="00BA4D2A" w:rsidRPr="00A66D33">
        <w:rPr>
          <w:rFonts w:hAnsi="標楷體" w:hint="eastAsia"/>
          <w:b/>
        </w:rPr>
        <w:t>為</w:t>
      </w:r>
      <w:r w:rsidR="00AC7F76" w:rsidRPr="00A66D33">
        <w:rPr>
          <w:rFonts w:hAnsi="標楷體" w:hint="eastAsia"/>
          <w:b/>
        </w:rPr>
        <w:t>監察權</w:t>
      </w:r>
      <w:r w:rsidR="003B77F3" w:rsidRPr="00A66D33">
        <w:rPr>
          <w:rFonts w:hint="eastAsia"/>
          <w:b/>
        </w:rPr>
        <w:t>行使</w:t>
      </w:r>
      <w:r w:rsidR="00AB33FA" w:rsidRPr="00A66D33">
        <w:rPr>
          <w:rFonts w:hAnsi="標楷體" w:hint="eastAsia"/>
          <w:b/>
        </w:rPr>
        <w:t>，</w:t>
      </w:r>
      <w:r w:rsidR="003B77F3" w:rsidRPr="00A66D33">
        <w:rPr>
          <w:rFonts w:hint="eastAsia"/>
          <w:b/>
        </w:rPr>
        <w:t>並無</w:t>
      </w:r>
      <w:r w:rsidR="00AB33FA" w:rsidRPr="00A66D33">
        <w:rPr>
          <w:rFonts w:hint="eastAsia"/>
          <w:b/>
        </w:rPr>
        <w:t>任何</w:t>
      </w:r>
      <w:r w:rsidR="003B77F3" w:rsidRPr="00A66D33">
        <w:rPr>
          <w:rFonts w:hint="eastAsia"/>
          <w:b/>
        </w:rPr>
        <w:t>疑義</w:t>
      </w:r>
      <w:r w:rsidRPr="00A66D33">
        <w:rPr>
          <w:rFonts w:hint="eastAsia"/>
          <w:b/>
        </w:rPr>
        <w:t>。</w:t>
      </w:r>
    </w:p>
    <w:p w:rsidR="00CB2428" w:rsidRPr="00A66D33" w:rsidRDefault="00CB2428" w:rsidP="006359D5">
      <w:pPr>
        <w:pStyle w:val="3"/>
        <w:rPr>
          <w:b/>
        </w:rPr>
      </w:pPr>
      <w:r w:rsidRPr="00A66D33">
        <w:rPr>
          <w:rFonts w:hint="eastAsia"/>
          <w:b/>
        </w:rPr>
        <w:t>憲法明文賦予監察院為國家最高監察機關</w:t>
      </w:r>
      <w:r w:rsidR="006359D5" w:rsidRPr="00A66D33">
        <w:rPr>
          <w:rFonts w:hAnsi="標楷體" w:hint="eastAsia"/>
          <w:b/>
        </w:rPr>
        <w:t>，就「事」及「人」的「違法」或「失職」為監督，不同於司法權僅得為「合法性監督」</w:t>
      </w:r>
      <w:r w:rsidR="003B77F3" w:rsidRPr="00A66D33">
        <w:rPr>
          <w:rFonts w:hAnsi="標楷體" w:hint="eastAsia"/>
          <w:b/>
        </w:rPr>
        <w:t>，然因制憲者為恐</w:t>
      </w:r>
      <w:r w:rsidR="00C12C83" w:rsidRPr="00A66D33">
        <w:rPr>
          <w:rFonts w:hAnsi="標楷體" w:hint="eastAsia"/>
          <w:b/>
        </w:rPr>
        <w:t>監察權</w:t>
      </w:r>
      <w:r w:rsidR="003B77F3" w:rsidRPr="00A66D33">
        <w:rPr>
          <w:rFonts w:hAnsi="標楷體" w:hint="eastAsia"/>
          <w:b/>
        </w:rPr>
        <w:t>影響其他權力之行使，</w:t>
      </w:r>
      <w:r w:rsidR="00C12C83" w:rsidRPr="00A66D33">
        <w:rPr>
          <w:rFonts w:hAnsi="標楷體" w:hint="eastAsia"/>
          <w:b/>
        </w:rPr>
        <w:t>不同於五五憲草之設計</w:t>
      </w:r>
      <w:r w:rsidR="003B77F3" w:rsidRPr="00A66D33">
        <w:rPr>
          <w:rFonts w:hAnsi="標楷體" w:hint="eastAsia"/>
          <w:b/>
        </w:rPr>
        <w:t>將監督</w:t>
      </w:r>
      <w:r w:rsidR="008A0DD5" w:rsidRPr="00A66D33">
        <w:rPr>
          <w:rFonts w:hAnsi="標楷體" w:hint="eastAsia"/>
          <w:b/>
        </w:rPr>
        <w:t>最終</w:t>
      </w:r>
      <w:r w:rsidR="003B77F3" w:rsidRPr="00A66D33">
        <w:rPr>
          <w:rFonts w:hAnsi="標楷體" w:hint="eastAsia"/>
          <w:b/>
        </w:rPr>
        <w:t>決定權交由司法機關</w:t>
      </w:r>
      <w:r w:rsidR="002E1335" w:rsidRPr="00A66D33">
        <w:rPr>
          <w:rFonts w:hAnsi="標楷體" w:hint="eastAsia"/>
          <w:b/>
        </w:rPr>
        <w:t>為終局</w:t>
      </w:r>
      <w:r w:rsidR="003B77F3" w:rsidRPr="00A66D33">
        <w:rPr>
          <w:rFonts w:hAnsi="標楷體" w:hint="eastAsia"/>
          <w:b/>
        </w:rPr>
        <w:t>處理</w:t>
      </w:r>
      <w:r w:rsidR="00C12C83" w:rsidRPr="00A66D33">
        <w:rPr>
          <w:rFonts w:hAnsi="標楷體" w:hint="eastAsia"/>
          <w:b/>
        </w:rPr>
        <w:t>，故</w:t>
      </w:r>
      <w:r w:rsidR="002E1335" w:rsidRPr="00A66D33">
        <w:rPr>
          <w:rFonts w:hAnsi="標楷體" w:hint="eastAsia"/>
          <w:b/>
        </w:rPr>
        <w:t>無違反權力分立原則</w:t>
      </w:r>
      <w:r w:rsidR="00C12C83" w:rsidRPr="00A66D33">
        <w:rPr>
          <w:rFonts w:hAnsi="標楷體" w:hint="eastAsia"/>
          <w:b/>
        </w:rPr>
        <w:t>（詳如第二大點論述）</w:t>
      </w:r>
    </w:p>
    <w:p w:rsidR="00CB2428" w:rsidRPr="00A66D33" w:rsidRDefault="00C12C83" w:rsidP="00CB2428">
      <w:pPr>
        <w:pStyle w:val="4"/>
      </w:pPr>
      <w:r w:rsidRPr="00A66D33">
        <w:rPr>
          <w:rFonts w:hint="eastAsia"/>
        </w:rPr>
        <w:t>憲法</w:t>
      </w:r>
      <w:r w:rsidR="00CB2428" w:rsidRPr="00A66D33">
        <w:rPr>
          <w:rFonts w:hint="eastAsia"/>
        </w:rPr>
        <w:t xml:space="preserve">第90條規定：「監察院為國家最高監察機關，行使同意、彈劾、糾舉及審計權。」 </w:t>
      </w:r>
    </w:p>
    <w:p w:rsidR="00CB2428" w:rsidRPr="00A66D33" w:rsidRDefault="00C12C83" w:rsidP="00CB2428">
      <w:pPr>
        <w:pStyle w:val="4"/>
        <w:rPr>
          <w:b/>
        </w:rPr>
      </w:pPr>
      <w:r w:rsidRPr="00A66D33">
        <w:rPr>
          <w:rFonts w:hint="eastAsia"/>
          <w:b/>
        </w:rPr>
        <w:t>憲法</w:t>
      </w:r>
      <w:r w:rsidR="00CB2428" w:rsidRPr="00A66D33">
        <w:rPr>
          <w:rFonts w:hint="eastAsia"/>
          <w:b/>
        </w:rPr>
        <w:t>第95條規定：「監察院為行使監察權，得向行</w:t>
      </w:r>
      <w:r w:rsidR="00CB2428" w:rsidRPr="00A66D33">
        <w:rPr>
          <w:rFonts w:hint="eastAsia"/>
          <w:b/>
        </w:rPr>
        <w:lastRenderedPageBreak/>
        <w:t>政院及其各部會調閱其所發布之命令及各種有關文件。」</w:t>
      </w:r>
    </w:p>
    <w:p w:rsidR="00CB2428" w:rsidRPr="00A66D33" w:rsidRDefault="00C12C83" w:rsidP="00CB2428">
      <w:pPr>
        <w:pStyle w:val="4"/>
        <w:rPr>
          <w:b/>
        </w:rPr>
      </w:pPr>
      <w:r w:rsidRPr="00A66D33">
        <w:rPr>
          <w:rFonts w:hint="eastAsia"/>
          <w:b/>
        </w:rPr>
        <w:t>憲法</w:t>
      </w:r>
      <w:r w:rsidR="00CB2428" w:rsidRPr="00A66D33">
        <w:rPr>
          <w:rFonts w:hint="eastAsia"/>
          <w:b/>
        </w:rPr>
        <w:t xml:space="preserve">第96條規定：「監察院得按行政院及其各部會之工作，分設若干委員會，調查一切設施，注意其是否違法或失職。」 </w:t>
      </w:r>
    </w:p>
    <w:p w:rsidR="00CB2428" w:rsidRPr="00A66D33" w:rsidRDefault="00C12C83" w:rsidP="00CB2428">
      <w:pPr>
        <w:pStyle w:val="4"/>
      </w:pPr>
      <w:r w:rsidRPr="00A66D33">
        <w:rPr>
          <w:rFonts w:hint="eastAsia"/>
        </w:rPr>
        <w:t>憲法</w:t>
      </w:r>
      <w:r w:rsidR="00CB2428" w:rsidRPr="00A66D33">
        <w:rPr>
          <w:rFonts w:hint="eastAsia"/>
        </w:rPr>
        <w:t>第97條規定：「監察院經各該委員會之審查及決議，得提出糾正案，移送行政院及其有關部會，促其注意改善。監察院對於中央及地方公務人員，認為有失職或違法情事，得提出糾舉案或彈劾案，如涉及刑事，應移送法院辦理。」</w:t>
      </w:r>
    </w:p>
    <w:p w:rsidR="00E133C1" w:rsidRPr="00A66D33" w:rsidRDefault="00C12C83" w:rsidP="00C12C83">
      <w:pPr>
        <w:pStyle w:val="4"/>
        <w:rPr>
          <w:b/>
        </w:rPr>
      </w:pPr>
      <w:r w:rsidRPr="00A66D33">
        <w:rPr>
          <w:rFonts w:hint="eastAsia"/>
        </w:rPr>
        <w:t>是則</w:t>
      </w:r>
      <w:r w:rsidRPr="00A66D33">
        <w:rPr>
          <w:rFonts w:hAnsi="標楷體" w:hint="eastAsia"/>
        </w:rPr>
        <w:t>，</w:t>
      </w:r>
      <w:r w:rsidRPr="00A66D33">
        <w:rPr>
          <w:rFonts w:hint="eastAsia"/>
        </w:rPr>
        <w:t>基於監察院為國家最高監察機關</w:t>
      </w:r>
      <w:r w:rsidRPr="00A66D33">
        <w:rPr>
          <w:rFonts w:hAnsi="標楷體" w:hint="eastAsia"/>
        </w:rPr>
        <w:t>，</w:t>
      </w:r>
      <w:r w:rsidR="00E133C1" w:rsidRPr="00A66D33">
        <w:rPr>
          <w:rFonts w:hint="eastAsia"/>
        </w:rPr>
        <w:t>豈有</w:t>
      </w:r>
      <w:r w:rsidRPr="00A66D33">
        <w:rPr>
          <w:rFonts w:hint="eastAsia"/>
        </w:rPr>
        <w:t>要</w:t>
      </w:r>
      <w:r w:rsidR="00AB33FA" w:rsidRPr="00A66D33">
        <w:rPr>
          <w:rFonts w:hint="eastAsia"/>
        </w:rPr>
        <w:t>求監察院</w:t>
      </w:r>
      <w:r w:rsidRPr="00A66D33">
        <w:rPr>
          <w:rFonts w:hint="eastAsia"/>
        </w:rPr>
        <w:t>注意其他憲法機關</w:t>
      </w:r>
      <w:r w:rsidR="00E133C1" w:rsidRPr="00A66D33">
        <w:rPr>
          <w:rFonts w:hint="eastAsia"/>
        </w:rPr>
        <w:t>是否違法或失職</w:t>
      </w:r>
      <w:r w:rsidR="00E133C1" w:rsidRPr="00A66D33">
        <w:rPr>
          <w:rFonts w:hAnsi="標楷體" w:hint="eastAsia"/>
        </w:rPr>
        <w:t>，</w:t>
      </w:r>
      <w:r w:rsidR="00CD30C5" w:rsidRPr="00A66D33">
        <w:rPr>
          <w:rFonts w:hint="eastAsia"/>
          <w:b/>
        </w:rPr>
        <w:t>而禁止監察院行使調查權時</w:t>
      </w:r>
      <w:r w:rsidR="00CD30C5" w:rsidRPr="00A66D33">
        <w:rPr>
          <w:rFonts w:hAnsi="標楷體" w:hint="eastAsia"/>
          <w:b/>
        </w:rPr>
        <w:t>，</w:t>
      </w:r>
      <w:r w:rsidR="00CD30C5" w:rsidRPr="00A66D33">
        <w:rPr>
          <w:rFonts w:hint="eastAsia"/>
          <w:b/>
        </w:rPr>
        <w:t>不得</w:t>
      </w:r>
      <w:r w:rsidRPr="00A66D33">
        <w:rPr>
          <w:rFonts w:hint="eastAsia"/>
          <w:b/>
        </w:rPr>
        <w:t>適用各機關之法令</w:t>
      </w:r>
      <w:r w:rsidR="00AB33FA" w:rsidRPr="00A66D33">
        <w:rPr>
          <w:rFonts w:hint="eastAsia"/>
          <w:b/>
        </w:rPr>
        <w:t>之法理</w:t>
      </w:r>
      <w:r w:rsidRPr="00A66D33">
        <w:rPr>
          <w:rFonts w:hAnsi="標楷體" w:hint="eastAsia"/>
          <w:b/>
        </w:rPr>
        <w:t>，</w:t>
      </w:r>
      <w:r w:rsidRPr="00A66D33">
        <w:rPr>
          <w:rFonts w:hint="eastAsia"/>
          <w:b/>
        </w:rPr>
        <w:t>如有</w:t>
      </w:r>
      <w:r w:rsidRPr="00A66D33">
        <w:rPr>
          <w:rFonts w:hAnsi="標楷體" w:hint="eastAsia"/>
          <w:b/>
        </w:rPr>
        <w:t>，</w:t>
      </w:r>
      <w:r w:rsidRPr="00A66D33">
        <w:rPr>
          <w:rFonts w:hint="eastAsia"/>
          <w:b/>
        </w:rPr>
        <w:t>其法理何在</w:t>
      </w:r>
      <w:r w:rsidR="004C5B79" w:rsidRPr="00A66D33">
        <w:rPr>
          <w:rFonts w:hAnsi="標楷體" w:hint="eastAsia"/>
          <w:b/>
        </w:rPr>
        <w:t>，</w:t>
      </w:r>
      <w:r w:rsidR="004C5B79" w:rsidRPr="00A66D33">
        <w:rPr>
          <w:rFonts w:hint="eastAsia"/>
          <w:b/>
        </w:rPr>
        <w:t>煩請司法院大法官為合理解釋</w:t>
      </w:r>
      <w:r w:rsidRPr="00A66D33">
        <w:rPr>
          <w:rFonts w:hAnsi="標楷體" w:hint="eastAsia"/>
          <w:b/>
        </w:rPr>
        <w:t>？</w:t>
      </w:r>
    </w:p>
    <w:p w:rsidR="00CB2428" w:rsidRPr="00A66D33" w:rsidRDefault="00CB2428" w:rsidP="00CB2428">
      <w:pPr>
        <w:pStyle w:val="3"/>
      </w:pPr>
      <w:r w:rsidRPr="00A66D33">
        <w:rPr>
          <w:rFonts w:hint="eastAsia"/>
        </w:rPr>
        <w:t>本件釋憲案係基於憲法第95條與第96條之</w:t>
      </w:r>
      <w:r w:rsidR="00CD30C5" w:rsidRPr="00A66D33">
        <w:rPr>
          <w:rFonts w:hint="eastAsia"/>
        </w:rPr>
        <w:t>監察</w:t>
      </w:r>
      <w:r w:rsidR="00AE3256" w:rsidRPr="00A66D33">
        <w:rPr>
          <w:rFonts w:hint="eastAsia"/>
        </w:rPr>
        <w:t>權</w:t>
      </w:r>
      <w:r w:rsidR="00AE3256" w:rsidRPr="00A66D33">
        <w:rPr>
          <w:rFonts w:hAnsi="標楷體" w:hint="eastAsia"/>
        </w:rPr>
        <w:t>，</w:t>
      </w:r>
      <w:r w:rsidR="00AB33FA" w:rsidRPr="00A66D33">
        <w:rPr>
          <w:rFonts w:hint="eastAsia"/>
        </w:rPr>
        <w:t>就行政權為違法與失職</w:t>
      </w:r>
      <w:r w:rsidR="00AE3256" w:rsidRPr="00A66D33">
        <w:rPr>
          <w:rFonts w:hint="eastAsia"/>
        </w:rPr>
        <w:t>監督</w:t>
      </w:r>
      <w:r w:rsidR="00AE3256" w:rsidRPr="00A66D33">
        <w:rPr>
          <w:rFonts w:hAnsi="標楷體" w:hint="eastAsia"/>
        </w:rPr>
        <w:t>。</w:t>
      </w:r>
    </w:p>
    <w:p w:rsidR="00AE3256" w:rsidRPr="00A66D33" w:rsidRDefault="00AE3256" w:rsidP="00AE3256">
      <w:pPr>
        <w:pStyle w:val="4"/>
      </w:pPr>
      <w:r w:rsidRPr="00A66D33">
        <w:rPr>
          <w:rFonts w:hint="eastAsia"/>
        </w:rPr>
        <w:t>本件釋憲案監察權行使過程</w:t>
      </w:r>
      <w:r w:rsidR="00BD0E83" w:rsidRPr="00A66D33">
        <w:rPr>
          <w:rFonts w:hAnsi="標楷體" w:hint="eastAsia"/>
        </w:rPr>
        <w:t>，</w:t>
      </w:r>
      <w:r w:rsidR="00BD0E83" w:rsidRPr="00A66D33">
        <w:rPr>
          <w:rFonts w:hint="eastAsia"/>
        </w:rPr>
        <w:t>與聲請釋憲流程及後續處理</w:t>
      </w:r>
      <w:r w:rsidR="00665442" w:rsidRPr="00A66D33">
        <w:rPr>
          <w:rFonts w:hAnsi="標楷體" w:hint="eastAsia"/>
        </w:rPr>
        <w:t>，</w:t>
      </w:r>
      <w:r w:rsidR="00665442" w:rsidRPr="00A66D33">
        <w:rPr>
          <w:rFonts w:hint="eastAsia"/>
        </w:rPr>
        <w:t>均經監察院各委員會與院會審查決議通過</w:t>
      </w:r>
      <w:r w:rsidR="00665442" w:rsidRPr="00A66D33">
        <w:rPr>
          <w:rFonts w:hAnsi="標楷體" w:hint="eastAsia"/>
        </w:rPr>
        <w:t>，</w:t>
      </w:r>
      <w:r w:rsidR="00CD30C5" w:rsidRPr="00A66D33">
        <w:rPr>
          <w:rFonts w:hint="eastAsia"/>
        </w:rPr>
        <w:t>符合監察院</w:t>
      </w:r>
      <w:r w:rsidR="00665442" w:rsidRPr="00A66D33">
        <w:rPr>
          <w:rFonts w:hint="eastAsia"/>
        </w:rPr>
        <w:t>行政法規</w:t>
      </w:r>
      <w:r w:rsidR="00CD30C5" w:rsidRPr="00A66D33">
        <w:rPr>
          <w:rFonts w:hint="eastAsia"/>
        </w:rPr>
        <w:t>之</w:t>
      </w:r>
      <w:r w:rsidR="00665442" w:rsidRPr="00A66D33">
        <w:rPr>
          <w:rFonts w:hint="eastAsia"/>
        </w:rPr>
        <w:t>各項流程</w:t>
      </w:r>
      <w:r w:rsidRPr="00A66D33">
        <w:rPr>
          <w:rFonts w:hAnsi="標楷體" w:hint="eastAsia"/>
        </w:rPr>
        <w:t>：</w:t>
      </w:r>
    </w:p>
    <w:p w:rsidR="00BD0E83" w:rsidRPr="00A66D33" w:rsidRDefault="00BD0E83" w:rsidP="00B27517">
      <w:pPr>
        <w:pStyle w:val="5"/>
      </w:pPr>
      <w:r w:rsidRPr="00A66D33">
        <w:rPr>
          <w:rFonts w:hint="eastAsia"/>
        </w:rPr>
        <w:t>司法院釋字第325號</w:t>
      </w:r>
      <w:r w:rsidR="00775293" w:rsidRPr="00A66D33">
        <w:rPr>
          <w:rFonts w:hint="eastAsia"/>
        </w:rPr>
        <w:t>解釋</w:t>
      </w:r>
      <w:r w:rsidRPr="00A66D33">
        <w:rPr>
          <w:rFonts w:hint="eastAsia"/>
        </w:rPr>
        <w:t>稱：「惟憲法之五院體制並未改變，原屬於監察院職權中之彈劾、糾舉、糾正權及為行使此等職權，依憲法第</w:t>
      </w:r>
      <w:r w:rsidR="00B27517" w:rsidRPr="00A66D33">
        <w:rPr>
          <w:rFonts w:hint="eastAsia"/>
        </w:rPr>
        <w:t>95</w:t>
      </w:r>
      <w:r w:rsidRPr="00A66D33">
        <w:rPr>
          <w:rFonts w:hint="eastAsia"/>
        </w:rPr>
        <w:t>條、第</w:t>
      </w:r>
      <w:r w:rsidR="00B27517" w:rsidRPr="00A66D33">
        <w:rPr>
          <w:rFonts w:hint="eastAsia"/>
        </w:rPr>
        <w:t>96</w:t>
      </w:r>
      <w:r w:rsidRPr="00A66D33">
        <w:rPr>
          <w:rFonts w:hint="eastAsia"/>
        </w:rPr>
        <w:t>條具有之調查權，憲法增修條文亦未修改，此項調查權仍應專由監察院行使。」故本院依據憲法規定監督行政權有無違法或失職</w:t>
      </w:r>
      <w:r w:rsidRPr="00A66D33">
        <w:rPr>
          <w:rFonts w:hAnsi="標楷體" w:hint="eastAsia"/>
        </w:rPr>
        <w:t>，</w:t>
      </w:r>
      <w:r w:rsidRPr="00A66D33">
        <w:rPr>
          <w:rFonts w:hint="eastAsia"/>
        </w:rPr>
        <w:t>自得行使調查權</w:t>
      </w:r>
      <w:r w:rsidRPr="00A66D33">
        <w:rPr>
          <w:rFonts w:hAnsi="標楷體" w:hint="eastAsia"/>
        </w:rPr>
        <w:t>，</w:t>
      </w:r>
      <w:r w:rsidR="003B77F3" w:rsidRPr="00A66D33">
        <w:rPr>
          <w:rFonts w:hAnsi="標楷體" w:hint="eastAsia"/>
        </w:rPr>
        <w:t>就行政權</w:t>
      </w:r>
      <w:r w:rsidRPr="00A66D33">
        <w:rPr>
          <w:rFonts w:hint="eastAsia"/>
        </w:rPr>
        <w:t>為合法性監督與合目的性監督</w:t>
      </w:r>
      <w:r w:rsidR="002E1335" w:rsidRPr="00A66D33">
        <w:rPr>
          <w:rFonts w:hint="eastAsia"/>
        </w:rPr>
        <w:t>時</w:t>
      </w:r>
      <w:r w:rsidRPr="00A66D33">
        <w:rPr>
          <w:rFonts w:hAnsi="標楷體" w:hint="eastAsia"/>
        </w:rPr>
        <w:t>，</w:t>
      </w:r>
      <w:r w:rsidR="003B77F3" w:rsidRPr="00A66D33">
        <w:rPr>
          <w:rFonts w:hAnsi="標楷體" w:hint="eastAsia"/>
        </w:rPr>
        <w:t>自</w:t>
      </w:r>
      <w:r w:rsidRPr="00A66D33">
        <w:rPr>
          <w:rFonts w:hint="eastAsia"/>
        </w:rPr>
        <w:t>適用行政權所主管之各項法令</w:t>
      </w:r>
      <w:r w:rsidRPr="00A66D33">
        <w:rPr>
          <w:rFonts w:hAnsi="標楷體" w:hint="eastAsia"/>
        </w:rPr>
        <w:t>，</w:t>
      </w:r>
      <w:r w:rsidR="003B77F3" w:rsidRPr="00A66D33">
        <w:rPr>
          <w:rFonts w:hAnsi="標楷體" w:hint="eastAsia"/>
        </w:rPr>
        <w:t>亦如同司法權所適用之法令，亦不限於司法權所主管之法令（詳如後述），</w:t>
      </w:r>
      <w:r w:rsidRPr="00A66D33">
        <w:rPr>
          <w:rFonts w:hint="eastAsia"/>
        </w:rPr>
        <w:t>自不待</w:t>
      </w:r>
      <w:r w:rsidRPr="00A66D33">
        <w:rPr>
          <w:rFonts w:hint="eastAsia"/>
        </w:rPr>
        <w:lastRenderedPageBreak/>
        <w:t>言</w:t>
      </w:r>
      <w:r w:rsidRPr="00A66D33">
        <w:rPr>
          <w:rFonts w:hAnsi="標楷體" w:hint="eastAsia"/>
        </w:rPr>
        <w:t>。</w:t>
      </w:r>
    </w:p>
    <w:p w:rsidR="009938C9" w:rsidRPr="00A66D33" w:rsidRDefault="00BD0E83" w:rsidP="00CD30C5">
      <w:pPr>
        <w:pStyle w:val="5"/>
      </w:pPr>
      <w:r w:rsidRPr="00A66D33">
        <w:rPr>
          <w:rFonts w:hint="eastAsia"/>
        </w:rPr>
        <w:t>本案係</w:t>
      </w:r>
      <w:r w:rsidR="002452C3" w:rsidRPr="00A66D33">
        <w:rPr>
          <w:rFonts w:hint="eastAsia"/>
        </w:rPr>
        <w:t>民眾陳茂嘉等105年10月6日至本院陳訴，</w:t>
      </w:r>
      <w:r w:rsidR="00DD1C72" w:rsidRPr="00A66D33">
        <w:rPr>
          <w:rFonts w:hint="eastAsia"/>
        </w:rPr>
        <w:t>就</w:t>
      </w:r>
      <w:r w:rsidR="002452C3" w:rsidRPr="00A66D33">
        <w:rPr>
          <w:rFonts w:hint="eastAsia"/>
        </w:rPr>
        <w:t>105年8月10日公布之黨產條例，涉有違憲疑義，行政院怠於移請覆議及聲請釋憲等情，經本院105年11月3日院台業五字第1050705745號函請行政院說明，</w:t>
      </w:r>
      <w:r w:rsidR="00AE3256" w:rsidRPr="00A66D33">
        <w:rPr>
          <w:rFonts w:hint="eastAsia"/>
        </w:rPr>
        <w:t>行政院</w:t>
      </w:r>
      <w:r w:rsidR="002452C3" w:rsidRPr="00A66D33">
        <w:rPr>
          <w:rFonts w:hint="eastAsia"/>
        </w:rPr>
        <w:t>於105年11月25日及12月30日分別以院臺綜字第1050045723號及第1050050640號</w:t>
      </w:r>
      <w:r w:rsidR="00AE3256" w:rsidRPr="00A66D33">
        <w:rPr>
          <w:rFonts w:hint="eastAsia"/>
        </w:rPr>
        <w:t>函復</w:t>
      </w:r>
      <w:r w:rsidR="00AE3256" w:rsidRPr="00A66D33">
        <w:rPr>
          <w:rStyle w:val="aff"/>
        </w:rPr>
        <w:footnoteReference w:id="11"/>
      </w:r>
      <w:r w:rsidR="00AE3256" w:rsidRPr="00A66D33">
        <w:rPr>
          <w:rFonts w:hint="eastAsia"/>
        </w:rPr>
        <w:t>稱</w:t>
      </w:r>
      <w:r w:rsidR="00AE3256" w:rsidRPr="00A66D33">
        <w:rPr>
          <w:rFonts w:hAnsi="標楷體" w:hint="eastAsia"/>
        </w:rPr>
        <w:t>，「黨</w:t>
      </w:r>
      <w:r w:rsidR="00AE3256" w:rsidRPr="00A66D33">
        <w:rPr>
          <w:rFonts w:hAnsi="標楷體" w:hint="eastAsia"/>
        </w:rPr>
        <w:lastRenderedPageBreak/>
        <w:t>產條例合於憲法法治國原則等，無牴觸憲法、憲法增修條文及其他法律之情形，</w:t>
      </w:r>
      <w:r w:rsidR="00AE3256" w:rsidRPr="00A66D33">
        <w:rPr>
          <w:rFonts w:hAnsi="標楷體" w:hint="eastAsia"/>
          <w:b/>
        </w:rPr>
        <w:t>其規定內容並無窒礙難行，自不生移請立法院覆議及聲請釋憲之問題</w:t>
      </w:r>
      <w:r w:rsidR="00AE3256" w:rsidRPr="00A66D33">
        <w:rPr>
          <w:rFonts w:hAnsi="標楷體" w:hint="eastAsia"/>
        </w:rPr>
        <w:t>」云云。</w:t>
      </w:r>
      <w:r w:rsidR="00665442" w:rsidRPr="00A66D33">
        <w:rPr>
          <w:rFonts w:hint="eastAsia"/>
        </w:rPr>
        <w:t>復監察院於</w:t>
      </w:r>
      <w:r w:rsidR="002452C3" w:rsidRPr="00A66D33">
        <w:rPr>
          <w:rFonts w:hint="eastAsia"/>
        </w:rPr>
        <w:t>10</w:t>
      </w:r>
      <w:r w:rsidR="00225F9A" w:rsidRPr="00A66D33">
        <w:rPr>
          <w:rFonts w:hint="eastAsia"/>
        </w:rPr>
        <w:t>6</w:t>
      </w:r>
      <w:r w:rsidR="002452C3" w:rsidRPr="00A66D33">
        <w:rPr>
          <w:rFonts w:hint="eastAsia"/>
        </w:rPr>
        <w:t>年1月9日辦理專家學者諮詢會議</w:t>
      </w:r>
      <w:r w:rsidR="00665442" w:rsidRPr="00A66D33">
        <w:rPr>
          <w:rFonts w:hint="eastAsia"/>
        </w:rPr>
        <w:t>後</w:t>
      </w:r>
      <w:r w:rsidR="002452C3" w:rsidRPr="00A66D33">
        <w:rPr>
          <w:rFonts w:hint="eastAsia"/>
        </w:rPr>
        <w:t>，</w:t>
      </w:r>
      <w:r w:rsidR="00225F9A" w:rsidRPr="00A66D33">
        <w:rPr>
          <w:rFonts w:hint="eastAsia"/>
        </w:rPr>
        <w:t>提出</w:t>
      </w:r>
      <w:r w:rsidR="00DD1C72" w:rsidRPr="00A66D33">
        <w:rPr>
          <w:rFonts w:hint="eastAsia"/>
        </w:rPr>
        <w:t>本案調查報告</w:t>
      </w:r>
      <w:r w:rsidR="006359D5" w:rsidRPr="00A66D33">
        <w:rPr>
          <w:rFonts w:hint="eastAsia"/>
        </w:rPr>
        <w:t>送請監察院內政及少數民族委員會處理</w:t>
      </w:r>
      <w:r w:rsidR="006359D5" w:rsidRPr="00A66D33">
        <w:rPr>
          <w:rFonts w:hAnsi="標楷體" w:hint="eastAsia"/>
        </w:rPr>
        <w:t>，該</w:t>
      </w:r>
      <w:r w:rsidR="00B27517" w:rsidRPr="00A66D33">
        <w:rPr>
          <w:rFonts w:hAnsi="標楷體" w:hint="eastAsia"/>
        </w:rPr>
        <w:t>委員</w:t>
      </w:r>
      <w:r w:rsidR="006359D5" w:rsidRPr="00A66D33">
        <w:rPr>
          <w:rFonts w:hAnsi="標楷體" w:hint="eastAsia"/>
        </w:rPr>
        <w:t>會</w:t>
      </w:r>
      <w:r w:rsidR="00225F9A" w:rsidRPr="00A66D33">
        <w:rPr>
          <w:rFonts w:hAnsi="標楷體" w:hint="eastAsia"/>
        </w:rPr>
        <w:t>106</w:t>
      </w:r>
      <w:r w:rsidR="006359D5" w:rsidRPr="00A66D33">
        <w:rPr>
          <w:rFonts w:hAnsi="標楷體" w:hint="eastAsia"/>
        </w:rPr>
        <w:t>年</w:t>
      </w:r>
      <w:r w:rsidR="00225F9A" w:rsidRPr="00A66D33">
        <w:rPr>
          <w:rFonts w:hAnsi="標楷體" w:hint="eastAsia"/>
        </w:rPr>
        <w:t>2</w:t>
      </w:r>
      <w:r w:rsidR="006359D5" w:rsidRPr="00A66D33">
        <w:rPr>
          <w:rFonts w:hAnsi="標楷體" w:hint="eastAsia"/>
        </w:rPr>
        <w:t>月</w:t>
      </w:r>
      <w:r w:rsidR="00225F9A" w:rsidRPr="00A66D33">
        <w:rPr>
          <w:rFonts w:hAnsi="標楷體" w:hint="eastAsia"/>
        </w:rPr>
        <w:t>9</w:t>
      </w:r>
      <w:r w:rsidR="006359D5" w:rsidRPr="00A66D33">
        <w:rPr>
          <w:rFonts w:hAnsi="標楷體" w:hint="eastAsia"/>
        </w:rPr>
        <w:t>日會議</w:t>
      </w:r>
      <w:r w:rsidR="006359D5" w:rsidRPr="00A66D33">
        <w:rPr>
          <w:rFonts w:hint="eastAsia"/>
        </w:rPr>
        <w:t>決議</w:t>
      </w:r>
      <w:r w:rsidR="00327976" w:rsidRPr="00A66D33">
        <w:rPr>
          <w:rFonts w:hint="eastAsia"/>
        </w:rPr>
        <w:t>略以</w:t>
      </w:r>
      <w:r w:rsidR="006359D5" w:rsidRPr="00A66D33">
        <w:rPr>
          <w:rFonts w:hAnsi="標楷體" w:hint="eastAsia"/>
        </w:rPr>
        <w:t>：1.</w:t>
      </w:r>
      <w:r w:rsidR="006359D5" w:rsidRPr="00A66D33">
        <w:rPr>
          <w:rFonts w:hint="eastAsia"/>
        </w:rPr>
        <w:t>調查意見函請行政院研處，並於三個月內見復。2.調查意見因涉及適用政黨及其附隨組織不當取得財產處理條例有無違憲疑義，有聲請解釋憲法必要(詳如聲請解釋憲法理由書)，送請監察院司法及獄政委員會審議轉陳院會審查。</w:t>
      </w:r>
      <w:r w:rsidR="00327976" w:rsidRPr="00A66D33">
        <w:rPr>
          <w:rFonts w:hint="eastAsia"/>
        </w:rPr>
        <w:t>本件聲請解釋憲法理由書於</w:t>
      </w:r>
      <w:r w:rsidR="00225F9A" w:rsidRPr="00A66D33">
        <w:rPr>
          <w:rFonts w:hAnsi="標楷體" w:hint="eastAsia"/>
        </w:rPr>
        <w:t>106年2月15日</w:t>
      </w:r>
      <w:r w:rsidR="00327976" w:rsidRPr="00A66D33">
        <w:rPr>
          <w:rFonts w:hint="eastAsia"/>
        </w:rPr>
        <w:t>監察院司法及獄政委員會審議通過</w:t>
      </w:r>
      <w:r w:rsidR="00327976" w:rsidRPr="00A66D33">
        <w:rPr>
          <w:rFonts w:hAnsi="標楷體" w:hint="eastAsia"/>
        </w:rPr>
        <w:t>，</w:t>
      </w:r>
      <w:r w:rsidR="00327976" w:rsidRPr="00A66D33">
        <w:rPr>
          <w:rFonts w:hint="eastAsia"/>
        </w:rPr>
        <w:t>監察院10</w:t>
      </w:r>
      <w:r w:rsidR="004954FD" w:rsidRPr="00A66D33">
        <w:rPr>
          <w:rFonts w:hint="eastAsia"/>
        </w:rPr>
        <w:t>6</w:t>
      </w:r>
      <w:r w:rsidR="00327976" w:rsidRPr="00A66D33">
        <w:rPr>
          <w:rFonts w:hint="eastAsia"/>
        </w:rPr>
        <w:t>年3月14日監察院第5屆第34次會議決議</w:t>
      </w:r>
      <w:r w:rsidR="000C67C4" w:rsidRPr="00A66D33">
        <w:rPr>
          <w:rFonts w:hint="eastAsia"/>
        </w:rPr>
        <w:t>通過</w:t>
      </w:r>
      <w:r w:rsidR="00DD1C72" w:rsidRPr="00A66D33">
        <w:rPr>
          <w:rFonts w:hint="eastAsia"/>
        </w:rPr>
        <w:t>送</w:t>
      </w:r>
      <w:r w:rsidR="000C67C4" w:rsidRPr="00A66D33">
        <w:rPr>
          <w:rFonts w:hint="eastAsia"/>
        </w:rPr>
        <w:t>本件聲請司法院大法官解釋憲法</w:t>
      </w:r>
      <w:r w:rsidR="000C67C4" w:rsidRPr="00A66D33">
        <w:rPr>
          <w:rFonts w:hAnsi="標楷體" w:hint="eastAsia"/>
        </w:rPr>
        <w:t>，行政院於106年4月5日院台規字第1060085556</w:t>
      </w:r>
      <w:r w:rsidR="00DD1C72" w:rsidRPr="00A66D33">
        <w:rPr>
          <w:rFonts w:hAnsi="標楷體" w:hint="eastAsia"/>
        </w:rPr>
        <w:t>號</w:t>
      </w:r>
      <w:r w:rsidR="000C67C4" w:rsidRPr="00A66D33">
        <w:rPr>
          <w:rFonts w:hAnsi="標楷體" w:hint="eastAsia"/>
        </w:rPr>
        <w:t>就調查意見第1點</w:t>
      </w:r>
      <w:r w:rsidR="00DD1C72" w:rsidRPr="00A66D33">
        <w:rPr>
          <w:rFonts w:hAnsi="標楷體" w:hint="eastAsia"/>
        </w:rPr>
        <w:t>查復</w:t>
      </w:r>
      <w:r w:rsidR="000C67C4" w:rsidRPr="00A66D33">
        <w:rPr>
          <w:rFonts w:hAnsi="標楷體" w:hint="eastAsia"/>
        </w:rPr>
        <w:t>稱：「貴院調查意見所列各點，本院前於105年11月25日及12月30日分別以院臺綜字第1050045723號及第1050050640號說明在案；審諸調查報告內容，</w:t>
      </w:r>
      <w:r w:rsidR="000C67C4" w:rsidRPr="00A66D33">
        <w:rPr>
          <w:rFonts w:hAnsi="標楷體" w:hint="eastAsia"/>
          <w:b/>
        </w:rPr>
        <w:t>除與本院法理見解歧</w:t>
      </w:r>
      <w:r w:rsidR="000C67C4" w:rsidRPr="00A66D33">
        <w:rPr>
          <w:rFonts w:hAnsi="標楷體" w:hint="eastAsia"/>
          <w:b/>
        </w:rPr>
        <w:lastRenderedPageBreak/>
        <w:t>異外，貴院仍認有違憲疑義，依司法院大法官審理案件法第5條第1項第1款規定聲請司法院解釋，</w:t>
      </w:r>
      <w:r w:rsidR="000C67C4" w:rsidRPr="00A66D33">
        <w:rPr>
          <w:rFonts w:hAnsi="標楷體" w:hint="eastAsia"/>
          <w:b/>
          <w:u w:val="single"/>
        </w:rPr>
        <w:t>本案允應尊重大法官處理權責</w:t>
      </w:r>
      <w:r w:rsidR="000C67C4" w:rsidRPr="00A66D33">
        <w:rPr>
          <w:rFonts w:hAnsi="標楷體" w:hint="eastAsia"/>
          <w:u w:val="single"/>
        </w:rPr>
        <w:t>，</w:t>
      </w:r>
      <w:r w:rsidR="000C67C4" w:rsidRPr="00A66D33">
        <w:rPr>
          <w:rFonts w:hAnsi="標楷體" w:hint="eastAsia"/>
        </w:rPr>
        <w:t>本院另無其他意見。」</w:t>
      </w:r>
      <w:r w:rsidR="00225F9A" w:rsidRPr="00A66D33">
        <w:rPr>
          <w:rFonts w:hAnsi="標楷體" w:hint="eastAsia"/>
        </w:rPr>
        <w:t>106</w:t>
      </w:r>
      <w:r w:rsidR="00665442" w:rsidRPr="00A66D33">
        <w:rPr>
          <w:rFonts w:hAnsi="標楷體" w:hint="eastAsia"/>
        </w:rPr>
        <w:t>年</w:t>
      </w:r>
      <w:r w:rsidR="00225F9A" w:rsidRPr="00A66D33">
        <w:rPr>
          <w:rFonts w:hAnsi="標楷體" w:hint="eastAsia"/>
        </w:rPr>
        <w:t>5</w:t>
      </w:r>
      <w:r w:rsidR="00665442" w:rsidRPr="00A66D33">
        <w:rPr>
          <w:rFonts w:hAnsi="標楷體" w:hint="eastAsia"/>
        </w:rPr>
        <w:t>月</w:t>
      </w:r>
      <w:r w:rsidR="00225F9A" w:rsidRPr="00A66D33">
        <w:rPr>
          <w:rFonts w:hAnsi="標楷體" w:hint="eastAsia"/>
        </w:rPr>
        <w:t>4</w:t>
      </w:r>
      <w:r w:rsidR="00665442" w:rsidRPr="00A66D33">
        <w:rPr>
          <w:rFonts w:hAnsi="標楷體" w:hint="eastAsia"/>
        </w:rPr>
        <w:t>日</w:t>
      </w:r>
      <w:r w:rsidR="000C67C4" w:rsidRPr="00A66D33">
        <w:rPr>
          <w:rFonts w:hAnsi="標楷體" w:hint="eastAsia"/>
        </w:rPr>
        <w:t>監察院</w:t>
      </w:r>
      <w:r w:rsidR="00665442" w:rsidRPr="00A66D33">
        <w:rPr>
          <w:rFonts w:hAnsi="標楷體" w:hint="eastAsia"/>
        </w:rPr>
        <w:t>內政及少數民族委員會決議：「行政院與本院法理見解歧異，然對於歧異之點並未詳予陳明，請行政院於文到二週內詳予研處。」行政院迄未函覆，本案調查報告與後續處理均經監察院內政及少數民族委員會以</w:t>
      </w:r>
      <w:r w:rsidR="00CD30C5" w:rsidRPr="00A66D33">
        <w:rPr>
          <w:rFonts w:hAnsi="標楷體" w:hint="eastAsia"/>
        </w:rPr>
        <w:t>「</w:t>
      </w:r>
      <w:r w:rsidR="00665442" w:rsidRPr="00A66D33">
        <w:rPr>
          <w:rFonts w:hAnsi="標楷體" w:hint="eastAsia"/>
        </w:rPr>
        <w:t>討論事項</w:t>
      </w:r>
      <w:r w:rsidR="00CD30C5" w:rsidRPr="00A66D33">
        <w:rPr>
          <w:rFonts w:hAnsi="標楷體" w:hint="eastAsia"/>
        </w:rPr>
        <w:t>」</w:t>
      </w:r>
      <w:r w:rsidR="00665442" w:rsidRPr="00A66D33">
        <w:rPr>
          <w:rFonts w:hAnsi="標楷體" w:hint="eastAsia"/>
        </w:rPr>
        <w:t>處理通過；而本件聲請解釋憲法案亦經</w:t>
      </w:r>
      <w:r w:rsidR="00CD30C5" w:rsidRPr="00A66D33">
        <w:rPr>
          <w:rFonts w:hAnsi="標楷體" w:hint="eastAsia"/>
        </w:rPr>
        <w:t>監察院司法及獄政委員會審查是否符合「司法院大法官審理案件法第5條第1項第1款」之程序規定，報請</w:t>
      </w:r>
      <w:r w:rsidR="00665442" w:rsidRPr="00A66D33">
        <w:rPr>
          <w:rFonts w:hAnsi="標楷體" w:hint="eastAsia"/>
        </w:rPr>
        <w:t>監察院院會</w:t>
      </w:r>
      <w:r w:rsidR="00CD30C5" w:rsidRPr="00A66D33">
        <w:rPr>
          <w:rFonts w:hAnsi="標楷體" w:hint="eastAsia"/>
        </w:rPr>
        <w:t>以「討論事項」決議</w:t>
      </w:r>
      <w:r w:rsidR="00665442" w:rsidRPr="00A66D33">
        <w:rPr>
          <w:rFonts w:hAnsi="標楷體" w:hint="eastAsia"/>
        </w:rPr>
        <w:t>通過，並無任何程序上疑義，</w:t>
      </w:r>
      <w:r w:rsidR="00917539" w:rsidRPr="00A66D33">
        <w:rPr>
          <w:rFonts w:hAnsi="標楷體" w:hint="eastAsia"/>
        </w:rPr>
        <w:t>前揭過程</w:t>
      </w:r>
      <w:r w:rsidR="004702F0" w:rsidRPr="00A66D33">
        <w:rPr>
          <w:rFonts w:hAnsi="標楷體" w:hint="eastAsia"/>
        </w:rPr>
        <w:t>論</w:t>
      </w:r>
      <w:r w:rsidR="00917539" w:rsidRPr="00A66D33">
        <w:rPr>
          <w:rFonts w:hAnsi="標楷體" w:hint="eastAsia"/>
        </w:rPr>
        <w:t>其實際</w:t>
      </w:r>
      <w:r w:rsidR="00665442" w:rsidRPr="00A66D33">
        <w:rPr>
          <w:rFonts w:hAnsi="標楷體" w:hint="eastAsia"/>
        </w:rPr>
        <w:t>就憲法規定而言</w:t>
      </w:r>
      <w:r w:rsidR="004702F0" w:rsidRPr="00A66D33">
        <w:rPr>
          <w:rFonts w:hAnsi="標楷體" w:hint="eastAsia"/>
        </w:rPr>
        <w:t>，</w:t>
      </w:r>
      <w:r w:rsidR="00665442" w:rsidRPr="00A66D33">
        <w:rPr>
          <w:rFonts w:hAnsi="標楷體" w:hint="eastAsia"/>
        </w:rPr>
        <w:t>係屬</w:t>
      </w:r>
      <w:r w:rsidR="00DD1C72" w:rsidRPr="00A66D33">
        <w:rPr>
          <w:rFonts w:hAnsi="標楷體" w:hint="eastAsia"/>
        </w:rPr>
        <w:t>監察院行使</w:t>
      </w:r>
      <w:r w:rsidR="003B77F3" w:rsidRPr="00A66D33">
        <w:rPr>
          <w:rFonts w:hAnsi="標楷體" w:hint="eastAsia"/>
        </w:rPr>
        <w:t>憲法第95條與第96條之職權</w:t>
      </w:r>
      <w:r w:rsidR="00CD30C5" w:rsidRPr="00A66D33">
        <w:rPr>
          <w:rFonts w:hAnsi="標楷體" w:hint="eastAsia"/>
        </w:rPr>
        <w:t>，並無疑義</w:t>
      </w:r>
      <w:r w:rsidR="00665442" w:rsidRPr="00A66D33">
        <w:rPr>
          <w:rFonts w:hAnsi="標楷體" w:hint="eastAsia"/>
        </w:rPr>
        <w:t>。</w:t>
      </w:r>
    </w:p>
    <w:p w:rsidR="002452C3" w:rsidRPr="00A66D33" w:rsidRDefault="00503E60" w:rsidP="00AB33FA">
      <w:pPr>
        <w:pStyle w:val="3"/>
        <w:rPr>
          <w:b/>
        </w:rPr>
      </w:pPr>
      <w:r w:rsidRPr="00A66D33">
        <w:rPr>
          <w:rFonts w:hint="eastAsia"/>
          <w:b/>
        </w:rPr>
        <w:t>另</w:t>
      </w:r>
      <w:r w:rsidR="00AB33FA" w:rsidRPr="00A66D33">
        <w:rPr>
          <w:rFonts w:hint="eastAsia"/>
          <w:b/>
        </w:rPr>
        <w:t>過去</w:t>
      </w:r>
      <w:r w:rsidRPr="00A66D33">
        <w:rPr>
          <w:rFonts w:hint="eastAsia"/>
          <w:b/>
        </w:rPr>
        <w:t>固有</w:t>
      </w:r>
      <w:r w:rsidR="000D44CA" w:rsidRPr="00A66D33">
        <w:rPr>
          <w:rFonts w:hint="eastAsia"/>
          <w:b/>
        </w:rPr>
        <w:t>少數見解</w:t>
      </w:r>
      <w:r w:rsidR="000D44CA" w:rsidRPr="00A66D33">
        <w:rPr>
          <w:rFonts w:hAnsi="標楷體" w:hint="eastAsia"/>
          <w:b/>
        </w:rPr>
        <w:t>，</w:t>
      </w:r>
      <w:r w:rsidR="00AB33FA" w:rsidRPr="00A66D33">
        <w:rPr>
          <w:rFonts w:hint="eastAsia"/>
          <w:b/>
        </w:rPr>
        <w:t>有認為行使監察權僅包括同意、彈劾、糾舉、審計權及糾正權之見解云云</w:t>
      </w:r>
      <w:r w:rsidR="00AB33FA" w:rsidRPr="00A66D33">
        <w:rPr>
          <w:rFonts w:hAnsi="標楷體" w:hint="eastAsia"/>
          <w:b/>
        </w:rPr>
        <w:t>，</w:t>
      </w:r>
      <w:r w:rsidR="00AB33FA" w:rsidRPr="00A66D33">
        <w:rPr>
          <w:rFonts w:hint="eastAsia"/>
          <w:b/>
        </w:rPr>
        <w:t>不含調查權等</w:t>
      </w:r>
      <w:r w:rsidR="00AB33FA" w:rsidRPr="00A66D33">
        <w:rPr>
          <w:rFonts w:hAnsi="標楷體" w:hint="eastAsia"/>
          <w:b/>
        </w:rPr>
        <w:t>，</w:t>
      </w:r>
      <w:r w:rsidR="00AB33FA" w:rsidRPr="00A66D33">
        <w:rPr>
          <w:rFonts w:hint="eastAsia"/>
          <w:b/>
        </w:rPr>
        <w:t>但為歷年司法院大法官</w:t>
      </w:r>
      <w:r w:rsidR="00213217" w:rsidRPr="00A66D33">
        <w:rPr>
          <w:rFonts w:hint="eastAsia"/>
          <w:b/>
        </w:rPr>
        <w:t>解釋</w:t>
      </w:r>
      <w:r w:rsidR="00AB33FA" w:rsidRPr="00A66D33">
        <w:rPr>
          <w:rFonts w:hint="eastAsia"/>
          <w:b/>
        </w:rPr>
        <w:t>所否定</w:t>
      </w:r>
      <w:r w:rsidR="00AB33FA" w:rsidRPr="00A66D33">
        <w:rPr>
          <w:rStyle w:val="aff"/>
          <w:b/>
        </w:rPr>
        <w:footnoteReference w:id="12"/>
      </w:r>
      <w:r w:rsidR="00AB33FA" w:rsidRPr="00A66D33">
        <w:rPr>
          <w:rFonts w:hAnsi="標楷體" w:hint="eastAsia"/>
          <w:b/>
        </w:rPr>
        <w:t>。</w:t>
      </w:r>
      <w:r w:rsidR="00AB33FA" w:rsidRPr="00A66D33">
        <w:rPr>
          <w:rFonts w:hint="eastAsia"/>
          <w:b/>
        </w:rPr>
        <w:t>蓋</w:t>
      </w:r>
      <w:r w:rsidR="00522C49" w:rsidRPr="00A66D33">
        <w:rPr>
          <w:rFonts w:hint="eastAsia"/>
          <w:b/>
        </w:rPr>
        <w:t>法律</w:t>
      </w:r>
      <w:r w:rsidR="00213217" w:rsidRPr="00A66D33">
        <w:rPr>
          <w:rFonts w:hint="eastAsia"/>
          <w:b/>
        </w:rPr>
        <w:t>涉及</w:t>
      </w:r>
      <w:r w:rsidR="00522C49" w:rsidRPr="00A66D33">
        <w:rPr>
          <w:rFonts w:hint="eastAsia"/>
          <w:b/>
        </w:rPr>
        <w:t>違反憲法</w:t>
      </w:r>
      <w:r w:rsidR="00522C49" w:rsidRPr="00A66D33">
        <w:rPr>
          <w:rFonts w:hAnsi="標楷體" w:hint="eastAsia"/>
          <w:b/>
        </w:rPr>
        <w:t>時，因係屬合法行為，監察院</w:t>
      </w:r>
      <w:r w:rsidR="004702F0" w:rsidRPr="00A66D33">
        <w:rPr>
          <w:rFonts w:hAnsi="標楷體" w:hint="eastAsia"/>
          <w:b/>
        </w:rPr>
        <w:t>自</w:t>
      </w:r>
      <w:r w:rsidR="00522C49" w:rsidRPr="00A66D33">
        <w:rPr>
          <w:rFonts w:hAnsi="標楷體" w:hint="eastAsia"/>
          <w:b/>
        </w:rPr>
        <w:t>無從糾正或彈劾，僅得移請司法院解釋，更何況憲法95條與96條將此明文規範於監察院職權之一，若稱不含監察權不含調查權，顯屬本末倒置，侵害監察權之核心職能，此亦為當然法理。</w:t>
      </w:r>
    </w:p>
    <w:p w:rsidR="002452C3" w:rsidRPr="00A66D33" w:rsidRDefault="00DA4323" w:rsidP="00E133C1">
      <w:pPr>
        <w:pStyle w:val="2"/>
        <w:rPr>
          <w:b/>
        </w:rPr>
      </w:pPr>
      <w:r w:rsidRPr="00A66D33">
        <w:rPr>
          <w:rFonts w:hint="eastAsia"/>
          <w:b/>
        </w:rPr>
        <w:t>監察院行使監察權</w:t>
      </w:r>
      <w:r w:rsidR="002452C3" w:rsidRPr="00A66D33">
        <w:rPr>
          <w:rFonts w:hint="eastAsia"/>
          <w:b/>
        </w:rPr>
        <w:t>就行政權為合法性監督與合目的性監督，</w:t>
      </w:r>
      <w:r w:rsidR="00AC7F76" w:rsidRPr="00A66D33">
        <w:rPr>
          <w:rFonts w:hint="eastAsia"/>
          <w:b/>
        </w:rPr>
        <w:t>其所適用之法令並非僅涉</w:t>
      </w:r>
      <w:r w:rsidR="002452C3" w:rsidRPr="00A66D33">
        <w:rPr>
          <w:rFonts w:hint="eastAsia"/>
          <w:b/>
        </w:rPr>
        <w:t>監察權之相關行為法與組織法，</w:t>
      </w:r>
      <w:r w:rsidR="00DD1C72" w:rsidRPr="00A66D33">
        <w:rPr>
          <w:rFonts w:hint="eastAsia"/>
          <w:b/>
        </w:rPr>
        <w:t>包括</w:t>
      </w:r>
      <w:r w:rsidRPr="00A66D33">
        <w:rPr>
          <w:rFonts w:hint="eastAsia"/>
          <w:b/>
        </w:rPr>
        <w:t>涉及</w:t>
      </w:r>
      <w:r w:rsidR="00AC7F76" w:rsidRPr="00A66D33">
        <w:rPr>
          <w:rFonts w:hint="eastAsia"/>
          <w:b/>
        </w:rPr>
        <w:t>行政權</w:t>
      </w:r>
      <w:r w:rsidR="00DD1C72" w:rsidRPr="00A66D33">
        <w:rPr>
          <w:rFonts w:hint="eastAsia"/>
          <w:b/>
        </w:rPr>
        <w:t>各項法令均得加以審查</w:t>
      </w:r>
      <w:r w:rsidR="00917539" w:rsidRPr="00A66D33">
        <w:rPr>
          <w:rFonts w:hint="eastAsia"/>
          <w:b/>
        </w:rPr>
        <w:t>，</w:t>
      </w:r>
      <w:r w:rsidR="00AC7F76" w:rsidRPr="00A66D33">
        <w:rPr>
          <w:rFonts w:hint="eastAsia"/>
          <w:b/>
        </w:rPr>
        <w:t>作為憲法之獨立權力機關，</w:t>
      </w:r>
      <w:r w:rsidRPr="00A66D33">
        <w:rPr>
          <w:rFonts w:hint="eastAsia"/>
          <w:b/>
        </w:rPr>
        <w:t>審查同時自應服從憲</w:t>
      </w:r>
      <w:r w:rsidRPr="00A66D33">
        <w:rPr>
          <w:rFonts w:hint="eastAsia"/>
          <w:b/>
        </w:rPr>
        <w:lastRenderedPageBreak/>
        <w:t>法規範，</w:t>
      </w:r>
      <w:r w:rsidR="00AC7F76" w:rsidRPr="00A66D33">
        <w:rPr>
          <w:rFonts w:hint="eastAsia"/>
          <w:b/>
        </w:rPr>
        <w:t>從事物本質</w:t>
      </w:r>
      <w:r w:rsidR="00503E60" w:rsidRPr="00A66D33">
        <w:rPr>
          <w:rFonts w:hint="eastAsia"/>
          <w:b/>
        </w:rPr>
        <w:t>而言</w:t>
      </w:r>
      <w:r w:rsidR="00503E60" w:rsidRPr="00A66D33">
        <w:rPr>
          <w:rFonts w:hAnsi="標楷體" w:hint="eastAsia"/>
          <w:b/>
        </w:rPr>
        <w:t>，</w:t>
      </w:r>
      <w:r w:rsidR="008A52DF" w:rsidRPr="00A66D33">
        <w:rPr>
          <w:rFonts w:hint="eastAsia"/>
          <w:b/>
        </w:rPr>
        <w:t>監察權本身</w:t>
      </w:r>
      <w:r w:rsidR="00E133C1" w:rsidRPr="00A66D33">
        <w:rPr>
          <w:rFonts w:hint="eastAsia"/>
          <w:b/>
        </w:rPr>
        <w:t>與各級法院相同均</w:t>
      </w:r>
      <w:r w:rsidR="008A52DF" w:rsidRPr="00A66D33">
        <w:rPr>
          <w:rFonts w:hint="eastAsia"/>
          <w:b/>
        </w:rPr>
        <w:t>為</w:t>
      </w:r>
      <w:r w:rsidR="00AC7F76" w:rsidRPr="00A66D33">
        <w:rPr>
          <w:rFonts w:hint="eastAsia"/>
          <w:b/>
        </w:rPr>
        <w:t>違憲審查權</w:t>
      </w:r>
      <w:r w:rsidR="00227ED9" w:rsidRPr="00A66D33">
        <w:rPr>
          <w:rFonts w:hint="eastAsia"/>
          <w:b/>
        </w:rPr>
        <w:t>啟動者</w:t>
      </w:r>
      <w:r w:rsidR="00AC7F76" w:rsidRPr="00A66D33">
        <w:rPr>
          <w:rFonts w:hint="eastAsia"/>
          <w:b/>
        </w:rPr>
        <w:t>，</w:t>
      </w:r>
      <w:r w:rsidR="004B019E" w:rsidRPr="00A66D33">
        <w:rPr>
          <w:rFonts w:hint="eastAsia"/>
          <w:b/>
        </w:rPr>
        <w:t>所</w:t>
      </w:r>
      <w:r w:rsidR="00227ED9" w:rsidRPr="00A66D33">
        <w:rPr>
          <w:rFonts w:hint="eastAsia"/>
          <w:b/>
        </w:rPr>
        <w:t>應</w:t>
      </w:r>
      <w:r w:rsidR="004B019E" w:rsidRPr="00A66D33">
        <w:rPr>
          <w:rFonts w:hAnsi="標楷體" w:hint="eastAsia"/>
          <w:b/>
        </w:rPr>
        <w:t>探究為所</w:t>
      </w:r>
      <w:r w:rsidR="00E133C1" w:rsidRPr="00A66D33">
        <w:rPr>
          <w:rFonts w:hAnsi="標楷體" w:hint="eastAsia"/>
          <w:b/>
        </w:rPr>
        <w:t>適用法令有無違反憲法，</w:t>
      </w:r>
      <w:r w:rsidR="00545059" w:rsidRPr="00A66D33">
        <w:rPr>
          <w:rFonts w:hAnsi="標楷體" w:hint="eastAsia"/>
          <w:b/>
        </w:rPr>
        <w:t>以</w:t>
      </w:r>
      <w:r w:rsidR="00E133C1" w:rsidRPr="00A66D33">
        <w:rPr>
          <w:rFonts w:hAnsi="標楷體" w:hint="eastAsia"/>
          <w:b/>
        </w:rPr>
        <w:t>善盡</w:t>
      </w:r>
      <w:r w:rsidR="004B019E" w:rsidRPr="00A66D33">
        <w:rPr>
          <w:rFonts w:hAnsi="標楷體" w:hint="eastAsia"/>
          <w:b/>
        </w:rPr>
        <w:t>監察</w:t>
      </w:r>
      <w:r w:rsidR="00227ED9" w:rsidRPr="00A66D33">
        <w:rPr>
          <w:rFonts w:hint="eastAsia"/>
          <w:b/>
        </w:rPr>
        <w:t>機關對憲法忠誠義務</w:t>
      </w:r>
      <w:r w:rsidR="004D1F90" w:rsidRPr="00A66D33">
        <w:rPr>
          <w:rFonts w:hint="eastAsia"/>
          <w:b/>
        </w:rPr>
        <w:t>。</w:t>
      </w:r>
    </w:p>
    <w:p w:rsidR="00577037" w:rsidRPr="00A66D33" w:rsidRDefault="00577037" w:rsidP="00C12C83">
      <w:pPr>
        <w:pStyle w:val="3"/>
      </w:pPr>
      <w:r w:rsidRPr="00A66D33">
        <w:rPr>
          <w:rFonts w:hint="eastAsia"/>
        </w:rPr>
        <w:t>憲法增修條文</w:t>
      </w:r>
      <w:r w:rsidR="008A52DF" w:rsidRPr="00A66D33">
        <w:rPr>
          <w:rFonts w:hint="eastAsia"/>
        </w:rPr>
        <w:t>第7條規定</w:t>
      </w:r>
      <w:r w:rsidR="002E1335" w:rsidRPr="00A66D33">
        <w:rPr>
          <w:rFonts w:hint="eastAsia"/>
        </w:rPr>
        <w:t>與憲法第80條</w:t>
      </w:r>
      <w:r w:rsidR="00C12C83" w:rsidRPr="00A66D33">
        <w:rPr>
          <w:rFonts w:hint="eastAsia"/>
        </w:rPr>
        <w:t>之法條結構</w:t>
      </w:r>
      <w:r w:rsidR="002E1335" w:rsidRPr="00A66D33">
        <w:rPr>
          <w:rFonts w:hint="eastAsia"/>
        </w:rPr>
        <w:t>相同</w:t>
      </w:r>
      <w:r w:rsidR="002E1335" w:rsidRPr="00A66D33">
        <w:rPr>
          <w:rFonts w:hAnsi="標楷體" w:hint="eastAsia"/>
        </w:rPr>
        <w:t>，</w:t>
      </w:r>
      <w:r w:rsidR="00C12C83" w:rsidRPr="00A66D33">
        <w:rPr>
          <w:rFonts w:hAnsi="標楷體" w:hint="eastAsia"/>
        </w:rPr>
        <w:t>所指適用法律並非指憲法分權之法令</w:t>
      </w:r>
    </w:p>
    <w:p w:rsidR="00577037" w:rsidRPr="00A66D33" w:rsidRDefault="002E1335" w:rsidP="008A7AFB">
      <w:pPr>
        <w:pStyle w:val="32"/>
        <w:ind w:left="1361" w:firstLine="680"/>
      </w:pPr>
      <w:r w:rsidRPr="00A66D33">
        <w:rPr>
          <w:rFonts w:hint="eastAsia"/>
        </w:rPr>
        <w:t>憲法增修條文第7條規定：「</w:t>
      </w:r>
      <w:r w:rsidR="00917539" w:rsidRPr="00A66D33">
        <w:rPr>
          <w:rFonts w:hint="eastAsia"/>
        </w:rPr>
        <w:t>監察委員須超出黨派以外，</w:t>
      </w:r>
      <w:r w:rsidR="00917539" w:rsidRPr="00A66D33">
        <w:rPr>
          <w:rFonts w:hint="eastAsia"/>
          <w:b/>
        </w:rPr>
        <w:t>依據法律獨立行使職權</w:t>
      </w:r>
      <w:r w:rsidR="00917539" w:rsidRPr="00A66D33">
        <w:rPr>
          <w:rFonts w:hint="eastAsia"/>
        </w:rPr>
        <w:t>。」與憲法第80條規定：「法官須超出黨派以外，</w:t>
      </w:r>
      <w:r w:rsidR="00917539" w:rsidRPr="00A66D33">
        <w:rPr>
          <w:rFonts w:hint="eastAsia"/>
          <w:b/>
        </w:rPr>
        <w:t>依據法律獨立審判</w:t>
      </w:r>
      <w:r w:rsidR="00917539" w:rsidRPr="00A66D33">
        <w:rPr>
          <w:rFonts w:hint="eastAsia"/>
        </w:rPr>
        <w:t>，不受任何干涉。</w:t>
      </w:r>
      <w:r w:rsidR="00545059" w:rsidRPr="00A66D33">
        <w:rPr>
          <w:rFonts w:hint="eastAsia"/>
        </w:rPr>
        <w:t>」之法律構成要件</w:t>
      </w:r>
      <w:r w:rsidR="008A7AFB" w:rsidRPr="00A66D33">
        <w:rPr>
          <w:rFonts w:hint="eastAsia"/>
        </w:rPr>
        <w:t>之結構</w:t>
      </w:r>
      <w:r w:rsidR="00545059" w:rsidRPr="00A66D33">
        <w:rPr>
          <w:rFonts w:hint="eastAsia"/>
        </w:rPr>
        <w:t>相類，</w:t>
      </w:r>
      <w:r w:rsidR="008A7AFB" w:rsidRPr="00A66D33">
        <w:rPr>
          <w:rFonts w:hint="eastAsia"/>
        </w:rPr>
        <w:t>依據司法院釋字第137號解釋</w:t>
      </w:r>
      <w:r w:rsidR="008A7AFB" w:rsidRPr="00A66D33">
        <w:rPr>
          <w:rFonts w:hAnsi="標楷體" w:hint="eastAsia"/>
        </w:rPr>
        <w:t>，</w:t>
      </w:r>
      <w:r w:rsidR="00545059" w:rsidRPr="00A66D33">
        <w:rPr>
          <w:rFonts w:hint="eastAsia"/>
        </w:rPr>
        <w:t>其所謂適用法律自非</w:t>
      </w:r>
      <w:r w:rsidR="00917539" w:rsidRPr="00A66D33">
        <w:rPr>
          <w:rFonts w:hint="eastAsia"/>
        </w:rPr>
        <w:t>僅限於</w:t>
      </w:r>
      <w:r w:rsidR="008A7AFB" w:rsidRPr="00A66D33">
        <w:rPr>
          <w:rFonts w:hint="eastAsia"/>
        </w:rPr>
        <w:t>涉及監察權之有關</w:t>
      </w:r>
      <w:r w:rsidR="00917539" w:rsidRPr="00A66D33">
        <w:rPr>
          <w:rFonts w:hint="eastAsia"/>
        </w:rPr>
        <w:t>行為法與組織法。</w:t>
      </w:r>
      <w:r w:rsidR="008A52DF" w:rsidRPr="00A66D33">
        <w:rPr>
          <w:rStyle w:val="aff"/>
          <w:rFonts w:hAnsi="標楷體"/>
        </w:rPr>
        <w:footnoteReference w:id="13"/>
      </w:r>
    </w:p>
    <w:p w:rsidR="00917539" w:rsidRPr="00A66D33" w:rsidRDefault="00917539" w:rsidP="00C20CFF">
      <w:pPr>
        <w:pStyle w:val="3"/>
        <w:rPr>
          <w:b/>
        </w:rPr>
      </w:pPr>
      <w:r w:rsidRPr="00A66D33">
        <w:rPr>
          <w:rFonts w:hAnsi="標楷體" w:hint="eastAsia"/>
        </w:rPr>
        <w:t>司法院釋字第371號</w:t>
      </w:r>
      <w:r w:rsidR="00EE0493" w:rsidRPr="00A66D33">
        <w:rPr>
          <w:rFonts w:hAnsi="標楷體" w:hint="eastAsia"/>
        </w:rPr>
        <w:t>解釋</w:t>
      </w:r>
      <w:r w:rsidRPr="00A66D33">
        <w:rPr>
          <w:rFonts w:hAnsi="標楷體" w:hint="eastAsia"/>
        </w:rPr>
        <w:t>在無法律明文規定前，</w:t>
      </w:r>
      <w:r w:rsidR="002D1529" w:rsidRPr="00A66D33">
        <w:rPr>
          <w:rFonts w:hAnsi="標楷體" w:hint="eastAsia"/>
        </w:rPr>
        <w:t>先</w:t>
      </w:r>
      <w:r w:rsidRPr="00A66D33">
        <w:rPr>
          <w:rFonts w:hAnsi="標楷體" w:hint="eastAsia"/>
        </w:rPr>
        <w:t>賦予各級</w:t>
      </w:r>
      <w:r w:rsidR="002D1529" w:rsidRPr="00A66D33">
        <w:rPr>
          <w:rFonts w:hAnsi="標楷體" w:hint="eastAsia"/>
        </w:rPr>
        <w:t>法院</w:t>
      </w:r>
      <w:r w:rsidRPr="00A66D33">
        <w:rPr>
          <w:rFonts w:hAnsi="標楷體" w:hint="eastAsia"/>
        </w:rPr>
        <w:t>「違憲審查權」</w:t>
      </w:r>
      <w:r w:rsidR="00654CAC" w:rsidRPr="00A66D33">
        <w:rPr>
          <w:rFonts w:hAnsi="標楷體" w:hint="eastAsia"/>
        </w:rPr>
        <w:t>，</w:t>
      </w:r>
      <w:r w:rsidR="002D1529" w:rsidRPr="00A66D33">
        <w:rPr>
          <w:rFonts w:hAnsi="標楷體" w:hint="eastAsia"/>
        </w:rPr>
        <w:t>然</w:t>
      </w:r>
      <w:r w:rsidR="00654CAC" w:rsidRPr="00A66D33">
        <w:rPr>
          <w:rFonts w:hAnsi="標楷體" w:hint="eastAsia"/>
        </w:rPr>
        <w:t>監察院從</w:t>
      </w:r>
      <w:r w:rsidR="000D44CA" w:rsidRPr="00A66D33">
        <w:rPr>
          <w:rFonts w:hAnsi="標楷體" w:hint="eastAsia"/>
        </w:rPr>
        <w:t>行憲以來</w:t>
      </w:r>
      <w:r w:rsidR="00654CAC" w:rsidRPr="00A66D33">
        <w:rPr>
          <w:rFonts w:hAnsi="標楷體" w:hint="eastAsia"/>
        </w:rPr>
        <w:t>長期</w:t>
      </w:r>
      <w:r w:rsidR="00227ED9" w:rsidRPr="00A66D33">
        <w:rPr>
          <w:rFonts w:hAnsi="標楷體" w:hint="eastAsia"/>
        </w:rPr>
        <w:t>即</w:t>
      </w:r>
      <w:r w:rsidR="00654CAC" w:rsidRPr="00A66D33">
        <w:rPr>
          <w:rFonts w:hAnsi="標楷體" w:hint="eastAsia"/>
        </w:rPr>
        <w:t>擔負「聲請</w:t>
      </w:r>
      <w:r w:rsidR="00C12C83" w:rsidRPr="00A66D33">
        <w:rPr>
          <w:rFonts w:hAnsi="標楷體" w:hint="eastAsia"/>
        </w:rPr>
        <w:t>法令</w:t>
      </w:r>
      <w:r w:rsidR="00654CAC" w:rsidRPr="00A66D33">
        <w:rPr>
          <w:rFonts w:hAnsi="標楷體" w:hint="eastAsia"/>
        </w:rPr>
        <w:t>違憲審查權」之職權，大法官不</w:t>
      </w:r>
      <w:r w:rsidR="008A0DD5" w:rsidRPr="00A66D33">
        <w:rPr>
          <w:rFonts w:hAnsi="標楷體" w:hint="eastAsia"/>
        </w:rPr>
        <w:t>宜</w:t>
      </w:r>
      <w:r w:rsidR="00654CAC" w:rsidRPr="00A66D33">
        <w:rPr>
          <w:rFonts w:hAnsi="標楷體" w:hint="eastAsia"/>
        </w:rPr>
        <w:t>因以黨產釋憲案</w:t>
      </w:r>
      <w:r w:rsidR="009E5587" w:rsidRPr="00A66D33">
        <w:rPr>
          <w:rFonts w:hAnsi="標楷體" w:hint="eastAsia"/>
        </w:rPr>
        <w:t>之政治敏感性，</w:t>
      </w:r>
      <w:r w:rsidR="00654CAC" w:rsidRPr="00A66D33">
        <w:rPr>
          <w:rFonts w:hAnsi="標楷體" w:hint="eastAsia"/>
        </w:rPr>
        <w:t>違背該號解釋意旨，</w:t>
      </w:r>
      <w:r w:rsidR="009E5587" w:rsidRPr="00A66D33">
        <w:rPr>
          <w:rFonts w:hAnsi="標楷體" w:hint="eastAsia"/>
        </w:rPr>
        <w:t>剝奪</w:t>
      </w:r>
      <w:r w:rsidR="002D1529" w:rsidRPr="00A66D33">
        <w:rPr>
          <w:rFonts w:hAnsi="標楷體" w:hint="eastAsia"/>
        </w:rPr>
        <w:t>監察權</w:t>
      </w:r>
      <w:r w:rsidR="009E5587" w:rsidRPr="00A66D33">
        <w:rPr>
          <w:rFonts w:hAnsi="標楷體" w:hint="eastAsia"/>
        </w:rPr>
        <w:t>適用法律時之違憲審查權</w:t>
      </w:r>
      <w:r w:rsidR="00654CAC" w:rsidRPr="00A66D33">
        <w:rPr>
          <w:rFonts w:hAnsi="標楷體" w:hint="eastAsia"/>
        </w:rPr>
        <w:t>。</w:t>
      </w:r>
      <w:r w:rsidR="00654CAC" w:rsidRPr="00A66D33">
        <w:rPr>
          <w:rFonts w:hint="eastAsia"/>
        </w:rPr>
        <w:t>按司法院</w:t>
      </w:r>
      <w:r w:rsidRPr="00A66D33">
        <w:rPr>
          <w:rFonts w:hint="eastAsia"/>
        </w:rPr>
        <w:t>釋字第371號</w:t>
      </w:r>
      <w:r w:rsidR="00654CAC" w:rsidRPr="00A66D33">
        <w:rPr>
          <w:rFonts w:hint="eastAsia"/>
        </w:rPr>
        <w:t>解釋緣由</w:t>
      </w:r>
      <w:r w:rsidR="00654CAC" w:rsidRPr="00A66D33">
        <w:rPr>
          <w:rFonts w:hAnsi="標楷體" w:hint="eastAsia"/>
        </w:rPr>
        <w:t>，</w:t>
      </w:r>
      <w:r w:rsidR="00654CAC" w:rsidRPr="00A66D33">
        <w:rPr>
          <w:rFonts w:hint="eastAsia"/>
        </w:rPr>
        <w:t>係因立法院就司法院第二廳審查通過台灣高等法院暨台灣台南地方法院</w:t>
      </w:r>
      <w:r w:rsidR="00C20CFF" w:rsidRPr="00A66D33">
        <w:rPr>
          <w:rFonts w:hint="eastAsia"/>
        </w:rPr>
        <w:t>81</w:t>
      </w:r>
      <w:r w:rsidR="00654CAC" w:rsidRPr="00A66D33">
        <w:rPr>
          <w:rFonts w:hint="eastAsia"/>
        </w:rPr>
        <w:t>年</w:t>
      </w:r>
      <w:r w:rsidR="00C20CFF" w:rsidRPr="00A66D33">
        <w:rPr>
          <w:rFonts w:hint="eastAsia"/>
        </w:rPr>
        <w:t>3</w:t>
      </w:r>
      <w:r w:rsidR="00654CAC" w:rsidRPr="00A66D33">
        <w:rPr>
          <w:rFonts w:hint="eastAsia"/>
        </w:rPr>
        <w:t>月法律座談會的法律見解，認為「法院辦理具體案件時，有審查有關法律是否牴觸憲法之權限，如認法律與憲法牴觸而無效時，得拒絕適用之。」認為其賦予一般法官「實質違憲審查權」造成憲法第</w:t>
      </w:r>
      <w:r w:rsidR="00C20CFF" w:rsidRPr="00A66D33">
        <w:rPr>
          <w:rFonts w:hint="eastAsia"/>
        </w:rPr>
        <w:t>80</w:t>
      </w:r>
      <w:r w:rsidR="00654CAC" w:rsidRPr="00A66D33">
        <w:rPr>
          <w:rFonts w:hint="eastAsia"/>
        </w:rPr>
        <w:t>條、第</w:t>
      </w:r>
      <w:r w:rsidR="00C20CFF" w:rsidRPr="00A66D33">
        <w:rPr>
          <w:rFonts w:hint="eastAsia"/>
        </w:rPr>
        <w:t>170</w:t>
      </w:r>
      <w:r w:rsidR="00654CAC" w:rsidRPr="00A66D33">
        <w:rPr>
          <w:rFonts w:hint="eastAsia"/>
        </w:rPr>
        <w:t>條適用上的疑義，引發憲法第</w:t>
      </w:r>
      <w:r w:rsidR="00C20CFF" w:rsidRPr="00A66D33">
        <w:rPr>
          <w:rFonts w:hint="eastAsia"/>
        </w:rPr>
        <w:t>171</w:t>
      </w:r>
      <w:r w:rsidR="00654CAC" w:rsidRPr="00A66D33">
        <w:rPr>
          <w:rFonts w:hint="eastAsia"/>
        </w:rPr>
        <w:t>條、第</w:t>
      </w:r>
      <w:r w:rsidR="00C20CFF" w:rsidRPr="00A66D33">
        <w:rPr>
          <w:rFonts w:hint="eastAsia"/>
        </w:rPr>
        <w:t>173</w:t>
      </w:r>
      <w:r w:rsidR="00654CAC" w:rsidRPr="00A66D33">
        <w:rPr>
          <w:rFonts w:hint="eastAsia"/>
        </w:rPr>
        <w:t>條，司法院組織法第</w:t>
      </w:r>
      <w:r w:rsidR="00C20CFF" w:rsidRPr="00A66D33">
        <w:rPr>
          <w:rFonts w:hint="eastAsia"/>
        </w:rPr>
        <w:t>3</w:t>
      </w:r>
      <w:r w:rsidR="00654CAC" w:rsidRPr="00A66D33">
        <w:rPr>
          <w:rFonts w:hint="eastAsia"/>
        </w:rPr>
        <w:t>條，司法院大法官會議法第</w:t>
      </w:r>
      <w:r w:rsidR="00C20CFF" w:rsidRPr="00A66D33">
        <w:rPr>
          <w:rFonts w:hint="eastAsia"/>
        </w:rPr>
        <w:t>2</w:t>
      </w:r>
      <w:r w:rsidR="00654CAC" w:rsidRPr="00A66D33">
        <w:rPr>
          <w:rFonts w:hint="eastAsia"/>
        </w:rPr>
        <w:t>條、第</w:t>
      </w:r>
      <w:r w:rsidR="00C20CFF" w:rsidRPr="00A66D33">
        <w:rPr>
          <w:rFonts w:hint="eastAsia"/>
        </w:rPr>
        <w:t>3</w:t>
      </w:r>
      <w:r w:rsidR="00654CAC" w:rsidRPr="00A66D33">
        <w:rPr>
          <w:rFonts w:hint="eastAsia"/>
        </w:rPr>
        <w:t>條有關憲法解釋機關及職</w:t>
      </w:r>
      <w:r w:rsidR="00654CAC" w:rsidRPr="00A66D33">
        <w:rPr>
          <w:rFonts w:hint="eastAsia"/>
        </w:rPr>
        <w:lastRenderedPageBreak/>
        <w:t>權範圍的爭議，該號解釋稱</w:t>
      </w:r>
      <w:r w:rsidR="00654CAC" w:rsidRPr="00A66D33">
        <w:rPr>
          <w:rFonts w:hAnsi="標楷體" w:hint="eastAsia"/>
        </w:rPr>
        <w:t>：「</w:t>
      </w:r>
      <w:r w:rsidRPr="00A66D33">
        <w:rPr>
          <w:rFonts w:hint="eastAsia"/>
          <w:b/>
        </w:rPr>
        <w:t>憲法為國家最高規範，法律牴觸憲法者無效，法律與憲法有無牴觸發生疑義而須予以解釋時，由司法院大法官掌理</w:t>
      </w:r>
      <w:r w:rsidRPr="00A66D33">
        <w:rPr>
          <w:rFonts w:hint="eastAsia"/>
        </w:rPr>
        <w:t>，此觀憲法第</w:t>
      </w:r>
      <w:r w:rsidR="00C20CFF" w:rsidRPr="00A66D33">
        <w:rPr>
          <w:rFonts w:hint="eastAsia"/>
        </w:rPr>
        <w:t>171</w:t>
      </w:r>
      <w:r w:rsidRPr="00A66D33">
        <w:rPr>
          <w:rFonts w:hint="eastAsia"/>
        </w:rPr>
        <w:t>條、第</w:t>
      </w:r>
      <w:r w:rsidR="00C20CFF" w:rsidRPr="00A66D33">
        <w:rPr>
          <w:rFonts w:hint="eastAsia"/>
        </w:rPr>
        <w:t>173</w:t>
      </w:r>
      <w:r w:rsidRPr="00A66D33">
        <w:rPr>
          <w:rFonts w:hint="eastAsia"/>
        </w:rPr>
        <w:t>條、第</w:t>
      </w:r>
      <w:r w:rsidR="00C20CFF" w:rsidRPr="00A66D33">
        <w:rPr>
          <w:rFonts w:hint="eastAsia"/>
        </w:rPr>
        <w:t>78</w:t>
      </w:r>
      <w:r w:rsidRPr="00A66D33">
        <w:rPr>
          <w:rFonts w:hint="eastAsia"/>
        </w:rPr>
        <w:t>條及第</w:t>
      </w:r>
      <w:r w:rsidR="00C20CFF" w:rsidRPr="00A66D33">
        <w:rPr>
          <w:rFonts w:hint="eastAsia"/>
        </w:rPr>
        <w:t>79</w:t>
      </w:r>
      <w:r w:rsidRPr="00A66D33">
        <w:rPr>
          <w:rFonts w:hint="eastAsia"/>
        </w:rPr>
        <w:t>條第</w:t>
      </w:r>
      <w:r w:rsidR="00C20CFF" w:rsidRPr="00A66D33">
        <w:rPr>
          <w:rFonts w:hint="eastAsia"/>
        </w:rPr>
        <w:t>2</w:t>
      </w:r>
      <w:r w:rsidRPr="00A66D33">
        <w:rPr>
          <w:rFonts w:hint="eastAsia"/>
        </w:rPr>
        <w:t>項規定甚明。又法官依據法律獨立審判，憲法第</w:t>
      </w:r>
      <w:r w:rsidR="00C20CFF" w:rsidRPr="00A66D33">
        <w:rPr>
          <w:rFonts w:hint="eastAsia"/>
        </w:rPr>
        <w:t>80</w:t>
      </w:r>
      <w:r w:rsidRPr="00A66D33">
        <w:rPr>
          <w:rFonts w:hint="eastAsia"/>
        </w:rPr>
        <w:t>條定有明文，</w:t>
      </w:r>
      <w:r w:rsidRPr="00A66D33">
        <w:rPr>
          <w:rFonts w:hint="eastAsia"/>
          <w:b/>
        </w:rPr>
        <w:t>故依法公布施行之法律，法官應以其為審判之依據</w:t>
      </w:r>
      <w:r w:rsidRPr="00A66D33">
        <w:rPr>
          <w:rFonts w:hint="eastAsia"/>
        </w:rPr>
        <w:t>，不得認定法律為違憲而逕行拒絕適用。</w:t>
      </w:r>
      <w:r w:rsidRPr="00A66D33">
        <w:rPr>
          <w:rFonts w:hint="eastAsia"/>
          <w:b/>
        </w:rPr>
        <w:t>惟憲法之效力既高於法律，法官有優先遵守之義務，法官於審理案件時，對於應適用之法律，依其合理之確信，認為有牴觸憲法之疑義者，自應許其先行聲請解釋憲法，以求解決。</w:t>
      </w:r>
      <w:r w:rsidRPr="00A66D33">
        <w:rPr>
          <w:rFonts w:hint="eastAsia"/>
        </w:rPr>
        <w:t>是遇有前述情形，各級法院得以之為先決問題裁定停止訴訟程序，並提出客觀上形成確信法律為違憲之具體理由，聲請本院大法官解釋。司法院大法官審理案件法第</w:t>
      </w:r>
      <w:r w:rsidR="00C20CFF" w:rsidRPr="00A66D33">
        <w:rPr>
          <w:rFonts w:hint="eastAsia"/>
        </w:rPr>
        <w:t>5</w:t>
      </w:r>
      <w:r w:rsidRPr="00A66D33">
        <w:rPr>
          <w:rFonts w:hint="eastAsia"/>
        </w:rPr>
        <w:t>條第</w:t>
      </w:r>
      <w:r w:rsidR="00C20CFF" w:rsidRPr="00A66D33">
        <w:rPr>
          <w:rFonts w:hint="eastAsia"/>
        </w:rPr>
        <w:t>2</w:t>
      </w:r>
      <w:r w:rsidRPr="00A66D33">
        <w:rPr>
          <w:rFonts w:hint="eastAsia"/>
        </w:rPr>
        <w:t>項、第</w:t>
      </w:r>
      <w:r w:rsidR="00C20CFF" w:rsidRPr="00A66D33">
        <w:rPr>
          <w:rFonts w:hint="eastAsia"/>
        </w:rPr>
        <w:t>3</w:t>
      </w:r>
      <w:r w:rsidRPr="00A66D33">
        <w:rPr>
          <w:rFonts w:hint="eastAsia"/>
        </w:rPr>
        <w:t>項之規定，與上開意旨不符部分，應停止適用。</w:t>
      </w:r>
      <w:r w:rsidR="00893BB1" w:rsidRPr="00A66D33">
        <w:rPr>
          <w:rFonts w:hAnsi="標楷體" w:hint="eastAsia"/>
        </w:rPr>
        <w:t>」</w:t>
      </w:r>
      <w:r w:rsidR="00893BB1" w:rsidRPr="00A66D33">
        <w:rPr>
          <w:rFonts w:hint="eastAsia"/>
          <w:b/>
        </w:rPr>
        <w:t>從該號解釋之事物本質</w:t>
      </w:r>
      <w:r w:rsidR="00372777" w:rsidRPr="00A66D33">
        <w:rPr>
          <w:rFonts w:hint="eastAsia"/>
          <w:b/>
        </w:rPr>
        <w:t>而論</w:t>
      </w:r>
      <w:r w:rsidR="00372777" w:rsidRPr="00A66D33">
        <w:rPr>
          <w:rFonts w:hAnsi="標楷體" w:hint="eastAsia"/>
          <w:b/>
        </w:rPr>
        <w:t>，</w:t>
      </w:r>
      <w:r w:rsidR="00545059" w:rsidRPr="00A66D33">
        <w:rPr>
          <w:rFonts w:hint="eastAsia"/>
          <w:b/>
        </w:rPr>
        <w:t>與監察院相同</w:t>
      </w:r>
      <w:r w:rsidR="00227ED9" w:rsidRPr="00A66D33">
        <w:rPr>
          <w:rFonts w:hAnsi="標楷體" w:hint="eastAsia"/>
          <w:b/>
        </w:rPr>
        <w:t>，</w:t>
      </w:r>
      <w:r w:rsidR="00372777" w:rsidRPr="00A66D33">
        <w:rPr>
          <w:rFonts w:hAnsi="標楷體" w:hint="eastAsia"/>
          <w:b/>
        </w:rPr>
        <w:t>故</w:t>
      </w:r>
      <w:r w:rsidR="00227ED9" w:rsidRPr="00A66D33">
        <w:rPr>
          <w:rFonts w:hAnsi="標楷體" w:hint="eastAsia"/>
          <w:b/>
        </w:rPr>
        <w:t>依據法律獨立行使憲法所賦予之權力機關之監察院</w:t>
      </w:r>
      <w:r w:rsidR="00893BB1" w:rsidRPr="00A66D33">
        <w:rPr>
          <w:rFonts w:hAnsi="標楷體" w:hint="eastAsia"/>
          <w:b/>
        </w:rPr>
        <w:t>，</w:t>
      </w:r>
      <w:r w:rsidR="00545059" w:rsidRPr="00A66D33">
        <w:rPr>
          <w:rFonts w:hAnsi="標楷體" w:hint="eastAsia"/>
          <w:b/>
        </w:rPr>
        <w:t>當即</w:t>
      </w:r>
      <w:r w:rsidR="002D1529" w:rsidRPr="00A66D33">
        <w:rPr>
          <w:rFonts w:hAnsi="標楷體" w:hint="eastAsia"/>
          <w:b/>
        </w:rPr>
        <w:t>除</w:t>
      </w:r>
      <w:r w:rsidR="00893BB1" w:rsidRPr="00A66D33">
        <w:rPr>
          <w:rFonts w:hAnsi="標楷體" w:hint="eastAsia"/>
          <w:b/>
        </w:rPr>
        <w:t>適用法律</w:t>
      </w:r>
      <w:r w:rsidR="002D1529" w:rsidRPr="00A66D33">
        <w:rPr>
          <w:rFonts w:hAnsi="標楷體" w:hint="eastAsia"/>
          <w:b/>
        </w:rPr>
        <w:t>外</w:t>
      </w:r>
      <w:r w:rsidR="00372777" w:rsidRPr="00A66D33">
        <w:rPr>
          <w:rFonts w:hAnsi="標楷體" w:hint="eastAsia"/>
          <w:b/>
        </w:rPr>
        <w:t>，仍應服從憲法規範</w:t>
      </w:r>
      <w:r w:rsidR="002D1529" w:rsidRPr="00A66D33">
        <w:rPr>
          <w:rStyle w:val="aff"/>
          <w:rFonts w:hAnsi="標楷體"/>
          <w:b/>
        </w:rPr>
        <w:footnoteReference w:id="14"/>
      </w:r>
      <w:r w:rsidR="00372777" w:rsidRPr="00A66D33">
        <w:rPr>
          <w:rFonts w:hAnsi="標楷體" w:hint="eastAsia"/>
          <w:b/>
        </w:rPr>
        <w:t>，</w:t>
      </w:r>
      <w:r w:rsidR="00893BB1" w:rsidRPr="00A66D33">
        <w:rPr>
          <w:rFonts w:hAnsi="標楷體" w:hint="eastAsia"/>
          <w:b/>
        </w:rPr>
        <w:t>否則</w:t>
      </w:r>
      <w:r w:rsidR="002D1529" w:rsidRPr="00A66D33">
        <w:rPr>
          <w:rFonts w:hAnsi="標楷體" w:hint="eastAsia"/>
          <w:b/>
        </w:rPr>
        <w:t>，憲法在規範層級中之最高性</w:t>
      </w:r>
      <w:r w:rsidR="00227ED9" w:rsidRPr="00A66D33">
        <w:rPr>
          <w:rFonts w:hAnsi="標楷體" w:hint="eastAsia"/>
          <w:b/>
        </w:rPr>
        <w:t>將遭</w:t>
      </w:r>
      <w:r w:rsidR="002D1529" w:rsidRPr="00A66D33">
        <w:rPr>
          <w:rFonts w:hAnsi="標楷體" w:hint="eastAsia"/>
          <w:b/>
        </w:rPr>
        <w:t>破壞</w:t>
      </w:r>
      <w:r w:rsidR="00227ED9" w:rsidRPr="00A66D33">
        <w:rPr>
          <w:rFonts w:hAnsi="標楷體" w:hint="eastAsia"/>
          <w:b/>
        </w:rPr>
        <w:t>，法治國原則亦無從維持</w:t>
      </w:r>
      <w:r w:rsidR="00545059" w:rsidRPr="00A66D33">
        <w:rPr>
          <w:rFonts w:hAnsi="標楷體" w:hint="eastAsia"/>
          <w:b/>
        </w:rPr>
        <w:t>，監察院亦喪失憲法機關之意義</w:t>
      </w:r>
      <w:r w:rsidR="002D1529" w:rsidRPr="00A66D33">
        <w:rPr>
          <w:rFonts w:hAnsi="標楷體" w:hint="eastAsia"/>
          <w:b/>
        </w:rPr>
        <w:t>。</w:t>
      </w:r>
    </w:p>
    <w:p w:rsidR="00227ED9" w:rsidRPr="00A66D33" w:rsidRDefault="00E6198D" w:rsidP="006362AA">
      <w:pPr>
        <w:pStyle w:val="2"/>
        <w:rPr>
          <w:b/>
        </w:rPr>
      </w:pPr>
      <w:r w:rsidRPr="00A66D33">
        <w:rPr>
          <w:rFonts w:hint="eastAsia"/>
          <w:b/>
        </w:rPr>
        <w:t>從</w:t>
      </w:r>
      <w:r w:rsidR="000D44CA" w:rsidRPr="00A66D33">
        <w:rPr>
          <w:rFonts w:hint="eastAsia"/>
          <w:b/>
        </w:rPr>
        <w:t>行憲以來</w:t>
      </w:r>
      <w:r w:rsidR="00E133C1" w:rsidRPr="00A66D33">
        <w:rPr>
          <w:rFonts w:hint="eastAsia"/>
          <w:b/>
        </w:rPr>
        <w:t>司法院大法官</w:t>
      </w:r>
      <w:r w:rsidRPr="00A66D33">
        <w:rPr>
          <w:rFonts w:hint="eastAsia"/>
          <w:b/>
        </w:rPr>
        <w:t>就監察院聲請大法官</w:t>
      </w:r>
      <w:r w:rsidR="00E133C1" w:rsidRPr="00A66D33">
        <w:rPr>
          <w:rFonts w:hint="eastAsia"/>
          <w:b/>
        </w:rPr>
        <w:t>解釋</w:t>
      </w:r>
      <w:r w:rsidR="00213217" w:rsidRPr="00A66D33">
        <w:rPr>
          <w:rFonts w:hint="eastAsia"/>
          <w:b/>
        </w:rPr>
        <w:t>案產生之</w:t>
      </w:r>
      <w:r w:rsidRPr="00A66D33">
        <w:rPr>
          <w:rFonts w:hint="eastAsia"/>
          <w:b/>
        </w:rPr>
        <w:t>司法實務標準</w:t>
      </w:r>
      <w:r w:rsidR="00E133C1" w:rsidRPr="00A66D33">
        <w:rPr>
          <w:rFonts w:hAnsi="標楷體" w:hint="eastAsia"/>
          <w:b/>
        </w:rPr>
        <w:t>，</w:t>
      </w:r>
      <w:r w:rsidR="00E133C1" w:rsidRPr="00A66D33">
        <w:rPr>
          <w:rFonts w:hint="eastAsia"/>
          <w:b/>
        </w:rPr>
        <w:t>本件</w:t>
      </w:r>
      <w:r w:rsidRPr="00A66D33">
        <w:rPr>
          <w:rFonts w:hint="eastAsia"/>
          <w:b/>
        </w:rPr>
        <w:t>聲請案之司法院大法官</w:t>
      </w:r>
      <w:r w:rsidR="00C239C9" w:rsidRPr="00A66D33">
        <w:rPr>
          <w:rFonts w:hint="eastAsia"/>
          <w:b/>
        </w:rPr>
        <w:t>並不具備</w:t>
      </w:r>
      <w:r w:rsidR="006362AA" w:rsidRPr="00A66D33">
        <w:rPr>
          <w:rFonts w:hint="eastAsia"/>
          <w:b/>
        </w:rPr>
        <w:t>任何</w:t>
      </w:r>
      <w:r w:rsidRPr="00A66D33">
        <w:rPr>
          <w:rFonts w:hAnsi="標楷體" w:hint="eastAsia"/>
          <w:b/>
        </w:rPr>
        <w:t>「不受理」之理由。</w:t>
      </w:r>
    </w:p>
    <w:p w:rsidR="00D706F8" w:rsidRPr="00A66D33" w:rsidRDefault="00C12C83" w:rsidP="00D5411D">
      <w:pPr>
        <w:pStyle w:val="3"/>
      </w:pPr>
      <w:r w:rsidRPr="00A66D33">
        <w:rPr>
          <w:rFonts w:hint="eastAsia"/>
        </w:rPr>
        <w:t>系爭</w:t>
      </w:r>
      <w:r w:rsidR="00D5411D" w:rsidRPr="00A66D33">
        <w:rPr>
          <w:rFonts w:hint="eastAsia"/>
        </w:rPr>
        <w:t>司法院大法官</w:t>
      </w:r>
      <w:r w:rsidR="009D103A" w:rsidRPr="00A66D33">
        <w:rPr>
          <w:rFonts w:ascii="Arial" w:cs="Arial"/>
          <w:shd w:val="clear" w:color="auto" w:fill="FFFFFF"/>
        </w:rPr>
        <w:t>審理</w:t>
      </w:r>
      <w:r w:rsidR="00D5411D" w:rsidRPr="00A66D33">
        <w:rPr>
          <w:rFonts w:hint="eastAsia"/>
        </w:rPr>
        <w:t>案件法第5條第1項第1款所定「適用法律命令發生有無牴觸憲法」從37年9月16日公布之司法院大法官會議規則第3條</w:t>
      </w:r>
      <w:r w:rsidR="00D5411D" w:rsidRPr="00A66D33">
        <w:rPr>
          <w:rFonts w:hAnsi="標楷體" w:hint="eastAsia"/>
        </w:rPr>
        <w:t>，</w:t>
      </w:r>
      <w:r w:rsidR="00D5411D" w:rsidRPr="00A66D33">
        <w:rPr>
          <w:rFonts w:hint="eastAsia"/>
        </w:rPr>
        <w:t>該構成</w:t>
      </w:r>
      <w:r w:rsidR="00D5411D" w:rsidRPr="00A66D33">
        <w:rPr>
          <w:rFonts w:hint="eastAsia"/>
        </w:rPr>
        <w:lastRenderedPageBreak/>
        <w:t>要件從未變動</w:t>
      </w:r>
      <w:r w:rsidR="00D5411D" w:rsidRPr="00A66D33">
        <w:rPr>
          <w:rFonts w:hAnsi="標楷體" w:hint="eastAsia"/>
        </w:rPr>
        <w:t>，</w:t>
      </w:r>
      <w:r w:rsidR="00D5411D" w:rsidRPr="00A66D33">
        <w:rPr>
          <w:rFonts w:hint="eastAsia"/>
        </w:rPr>
        <w:t>司法院大法官作為憲法機關</w:t>
      </w:r>
      <w:r w:rsidR="00D5411D" w:rsidRPr="00A66D33">
        <w:rPr>
          <w:rFonts w:hAnsi="標楷體" w:hint="eastAsia"/>
        </w:rPr>
        <w:t>，應遵守法安定性原則</w:t>
      </w:r>
      <w:r w:rsidR="00C239C9" w:rsidRPr="00A66D33">
        <w:rPr>
          <w:rFonts w:hAnsi="標楷體" w:hint="eastAsia"/>
        </w:rPr>
        <w:t>與機關忠誠義務</w:t>
      </w:r>
      <w:r w:rsidR="00D5411D" w:rsidRPr="00A66D33">
        <w:rPr>
          <w:rFonts w:hAnsi="標楷體" w:hint="eastAsia"/>
        </w:rPr>
        <w:t>，</w:t>
      </w:r>
      <w:r w:rsidRPr="00A66D33">
        <w:rPr>
          <w:rFonts w:hint="eastAsia"/>
        </w:rPr>
        <w:t>遵守大法官依據</w:t>
      </w:r>
      <w:r w:rsidR="00C239C9" w:rsidRPr="00A66D33">
        <w:rPr>
          <w:rFonts w:hint="eastAsia"/>
        </w:rPr>
        <w:t>憲法</w:t>
      </w:r>
      <w:r w:rsidR="00545059" w:rsidRPr="00A66D33">
        <w:rPr>
          <w:rFonts w:hint="eastAsia"/>
        </w:rPr>
        <w:t>歷年</w:t>
      </w:r>
      <w:r w:rsidR="00C239C9" w:rsidRPr="00A66D33">
        <w:rPr>
          <w:rFonts w:hint="eastAsia"/>
        </w:rPr>
        <w:t>不斷實踐</w:t>
      </w:r>
      <w:r w:rsidRPr="00A66D33">
        <w:rPr>
          <w:rFonts w:hint="eastAsia"/>
        </w:rPr>
        <w:t>所生之憲政</w:t>
      </w:r>
      <w:r w:rsidR="00D5411D" w:rsidRPr="00A66D33">
        <w:rPr>
          <w:rFonts w:hint="eastAsia"/>
        </w:rPr>
        <w:t>慣例</w:t>
      </w:r>
      <w:r w:rsidR="00D5411D" w:rsidRPr="00A66D33">
        <w:rPr>
          <w:rFonts w:hAnsi="標楷體" w:hint="eastAsia"/>
        </w:rPr>
        <w:t>。</w:t>
      </w:r>
    </w:p>
    <w:p w:rsidR="00D5411D" w:rsidRPr="00A66D33" w:rsidRDefault="00C239C9" w:rsidP="005C4036">
      <w:pPr>
        <w:pStyle w:val="3"/>
      </w:pPr>
      <w:r w:rsidRPr="00A66D33">
        <w:rPr>
          <w:rFonts w:hint="eastAsia"/>
        </w:rPr>
        <w:t>監察院聲請司法院大法官解釋迄今</w:t>
      </w:r>
      <w:r w:rsidR="00545059" w:rsidRPr="00A66D33">
        <w:rPr>
          <w:rFonts w:hint="eastAsia"/>
        </w:rPr>
        <w:t>計</w:t>
      </w:r>
      <w:r w:rsidRPr="00A66D33">
        <w:rPr>
          <w:rFonts w:hint="eastAsia"/>
        </w:rPr>
        <w:t>5</w:t>
      </w:r>
      <w:r w:rsidR="00775293" w:rsidRPr="00A66D33">
        <w:rPr>
          <w:rFonts w:hint="eastAsia"/>
        </w:rPr>
        <w:t>5</w:t>
      </w:r>
      <w:r w:rsidRPr="00A66D33">
        <w:rPr>
          <w:rFonts w:hint="eastAsia"/>
        </w:rPr>
        <w:t>案，</w:t>
      </w:r>
      <w:r w:rsidR="002240D6" w:rsidRPr="00A66D33">
        <w:rPr>
          <w:rFonts w:hint="eastAsia"/>
        </w:rPr>
        <w:t>聲請解釋憲法僅1件不受理</w:t>
      </w:r>
      <w:r w:rsidR="007A4762" w:rsidRPr="00A66D33">
        <w:rPr>
          <w:rStyle w:val="aff"/>
          <w:rFonts w:hAnsi="標楷體"/>
        </w:rPr>
        <w:footnoteReference w:id="15"/>
      </w:r>
      <w:r w:rsidR="007A4762" w:rsidRPr="00A66D33">
        <w:rPr>
          <w:rFonts w:hint="eastAsia"/>
        </w:rPr>
        <w:t>（附件</w:t>
      </w:r>
      <w:r w:rsidR="000D44CA" w:rsidRPr="00A66D33">
        <w:rPr>
          <w:rFonts w:hint="eastAsia"/>
        </w:rPr>
        <w:t>編號</w:t>
      </w:r>
      <w:r w:rsidR="00775293" w:rsidRPr="00A66D33">
        <w:rPr>
          <w:rFonts w:hint="eastAsia"/>
        </w:rPr>
        <w:t>51</w:t>
      </w:r>
      <w:r w:rsidR="007A4762" w:rsidRPr="00A66D33">
        <w:rPr>
          <w:rFonts w:hint="eastAsia"/>
        </w:rPr>
        <w:t>）</w:t>
      </w:r>
      <w:r w:rsidR="002240D6" w:rsidRPr="00A66D33">
        <w:rPr>
          <w:rFonts w:hint="eastAsia"/>
        </w:rPr>
        <w:t>，</w:t>
      </w:r>
      <w:r w:rsidR="007A4762" w:rsidRPr="00A66D33">
        <w:rPr>
          <w:rFonts w:hint="eastAsia"/>
        </w:rPr>
        <w:t>其</w:t>
      </w:r>
      <w:r w:rsidR="002240D6" w:rsidRPr="00A66D33">
        <w:rPr>
          <w:rFonts w:hint="eastAsia"/>
          <w:b/>
        </w:rPr>
        <w:t>係因本院行使監察權時並未適用「系爭法律」所致，</w:t>
      </w:r>
      <w:r w:rsidR="005C4036" w:rsidRPr="00A66D33">
        <w:rPr>
          <w:rFonts w:hint="eastAsia"/>
          <w:b/>
        </w:rPr>
        <w:t>與本件聲請書所附調查報告全般適用</w:t>
      </w:r>
      <w:r w:rsidR="005C4036" w:rsidRPr="00A66D33">
        <w:rPr>
          <w:rFonts w:hAnsi="標楷體" w:hint="eastAsia"/>
          <w:b/>
        </w:rPr>
        <w:t>「政黨及其附隨組織不當取得財產處理條例」顯有所不同。</w:t>
      </w:r>
    </w:p>
    <w:p w:rsidR="007A4762" w:rsidRPr="00A66D33" w:rsidRDefault="007A4762" w:rsidP="00A95FA9">
      <w:pPr>
        <w:pStyle w:val="32"/>
        <w:ind w:left="1361" w:firstLine="680"/>
      </w:pPr>
      <w:r w:rsidRPr="00A66D33">
        <w:rPr>
          <w:rFonts w:hint="eastAsia"/>
        </w:rPr>
        <w:t>該案</w:t>
      </w:r>
      <w:r w:rsidRPr="00A66D33">
        <w:rPr>
          <w:rFonts w:hint="eastAsia"/>
          <w:b/>
        </w:rPr>
        <w:t>99年6月8日監察院第4屆第24次會議決議</w:t>
      </w:r>
      <w:r w:rsidRPr="00A66D33">
        <w:rPr>
          <w:rFonts w:hint="eastAsia"/>
        </w:rPr>
        <w:t>聲請事由係為監察院行使調查「陳○明是否適任檢察總長一職」乙案及彈劾、糾舉之職權，適用法院組織法第</w:t>
      </w:r>
      <w:r w:rsidR="00C20CFF" w:rsidRPr="00A66D33">
        <w:rPr>
          <w:rFonts w:hint="eastAsia"/>
        </w:rPr>
        <w:t>66</w:t>
      </w:r>
      <w:r w:rsidRPr="00A66D33">
        <w:rPr>
          <w:rFonts w:hint="eastAsia"/>
        </w:rPr>
        <w:t>條第</w:t>
      </w:r>
      <w:r w:rsidR="00C20CFF" w:rsidRPr="00A66D33">
        <w:rPr>
          <w:rFonts w:hint="eastAsia"/>
        </w:rPr>
        <w:t>7</w:t>
      </w:r>
      <w:r w:rsidRPr="00A66D33">
        <w:rPr>
          <w:rFonts w:hint="eastAsia"/>
        </w:rPr>
        <w:t>項，認發生有牴觸憲法第</w:t>
      </w:r>
      <w:r w:rsidR="00C20CFF" w:rsidRPr="00A66D33">
        <w:rPr>
          <w:rFonts w:hint="eastAsia"/>
        </w:rPr>
        <w:t>53</w:t>
      </w:r>
      <w:r w:rsidRPr="00A66D33">
        <w:rPr>
          <w:rFonts w:hint="eastAsia"/>
        </w:rPr>
        <w:t>條暨憲法增修條文第</w:t>
      </w:r>
      <w:r w:rsidR="00C20CFF" w:rsidRPr="00A66D33">
        <w:rPr>
          <w:rFonts w:hint="eastAsia"/>
        </w:rPr>
        <w:t>3</w:t>
      </w:r>
      <w:r w:rsidRPr="00A66D33">
        <w:rPr>
          <w:rFonts w:hint="eastAsia"/>
        </w:rPr>
        <w:t>條第</w:t>
      </w:r>
      <w:r w:rsidR="00C20CFF" w:rsidRPr="00A66D33">
        <w:rPr>
          <w:rFonts w:hint="eastAsia"/>
        </w:rPr>
        <w:t>2</w:t>
      </w:r>
      <w:r w:rsidRPr="00A66D33">
        <w:rPr>
          <w:rFonts w:hint="eastAsia"/>
        </w:rPr>
        <w:t>項之疑義；及適用法院組織法第</w:t>
      </w:r>
      <w:r w:rsidR="00C20CFF" w:rsidRPr="00A66D33">
        <w:rPr>
          <w:rFonts w:hint="eastAsia"/>
        </w:rPr>
        <w:t>63</w:t>
      </w:r>
      <w:r w:rsidRPr="00A66D33">
        <w:rPr>
          <w:rFonts w:hint="eastAsia"/>
        </w:rPr>
        <w:t>條之</w:t>
      </w:r>
      <w:r w:rsidR="00C20CFF" w:rsidRPr="00A66D33">
        <w:rPr>
          <w:rFonts w:hint="eastAsia"/>
        </w:rPr>
        <w:t>1</w:t>
      </w:r>
      <w:r w:rsidRPr="00A66D33">
        <w:rPr>
          <w:rFonts w:hint="eastAsia"/>
        </w:rPr>
        <w:t>第</w:t>
      </w:r>
      <w:r w:rsidR="00C20CFF" w:rsidRPr="00A66D33">
        <w:rPr>
          <w:rFonts w:hint="eastAsia"/>
        </w:rPr>
        <w:t>1</w:t>
      </w:r>
      <w:r w:rsidRPr="00A66D33">
        <w:rPr>
          <w:rFonts w:hint="eastAsia"/>
        </w:rPr>
        <w:t>項，認發生有牴觸憲法第</w:t>
      </w:r>
      <w:r w:rsidR="00C20CFF" w:rsidRPr="00A66D33">
        <w:rPr>
          <w:rFonts w:hint="eastAsia"/>
        </w:rPr>
        <w:t>16</w:t>
      </w:r>
      <w:r w:rsidRPr="00A66D33">
        <w:rPr>
          <w:rFonts w:hint="eastAsia"/>
        </w:rPr>
        <w:t>條之疑義，聲請解釋案。</w:t>
      </w:r>
      <w:r w:rsidR="00A95FA9" w:rsidRPr="00A66D33">
        <w:rPr>
          <w:rFonts w:hint="eastAsia"/>
        </w:rPr>
        <w:t>司法院99年8月3日以院台大二字第0330014693號函（會台字第9894號）議決不受理，</w:t>
      </w:r>
      <w:r w:rsidRPr="00A66D33">
        <w:rPr>
          <w:rFonts w:hint="eastAsia"/>
        </w:rPr>
        <w:t>不受理理由略以</w:t>
      </w:r>
      <w:r w:rsidRPr="00A66D33">
        <w:rPr>
          <w:rFonts w:hAnsi="標楷體" w:hint="eastAsia"/>
        </w:rPr>
        <w:t>：「</w:t>
      </w:r>
      <w:r w:rsidR="005C4036" w:rsidRPr="00A66D33">
        <w:rPr>
          <w:rFonts w:hAnsi="標楷體" w:hint="eastAsia"/>
        </w:rPr>
        <w:t>聲請人認法院組織法第</w:t>
      </w:r>
      <w:r w:rsidR="00C20CFF" w:rsidRPr="00A66D33">
        <w:rPr>
          <w:rFonts w:hAnsi="標楷體" w:hint="eastAsia"/>
        </w:rPr>
        <w:t>66</w:t>
      </w:r>
      <w:r w:rsidR="005C4036" w:rsidRPr="00A66D33">
        <w:rPr>
          <w:rFonts w:hAnsi="標楷體" w:hint="eastAsia"/>
        </w:rPr>
        <w:t>條第</w:t>
      </w:r>
      <w:r w:rsidR="00C20CFF" w:rsidRPr="00A66D33">
        <w:rPr>
          <w:rFonts w:hAnsi="標楷體" w:hint="eastAsia"/>
        </w:rPr>
        <w:t>7</w:t>
      </w:r>
      <w:r w:rsidR="005C4036" w:rsidRPr="00A66D33">
        <w:rPr>
          <w:rFonts w:hAnsi="標楷體" w:hint="eastAsia"/>
        </w:rPr>
        <w:t>項及第</w:t>
      </w:r>
      <w:r w:rsidR="00C20CFF" w:rsidRPr="00A66D33">
        <w:rPr>
          <w:rFonts w:hAnsi="標楷體" w:hint="eastAsia"/>
        </w:rPr>
        <w:t>63</w:t>
      </w:r>
      <w:r w:rsidR="005C4036" w:rsidRPr="00A66D33">
        <w:rPr>
          <w:rFonts w:hAnsi="標楷體" w:hint="eastAsia"/>
        </w:rPr>
        <w:t>條之</w:t>
      </w:r>
      <w:r w:rsidR="00C20CFF" w:rsidRPr="00A66D33">
        <w:rPr>
          <w:rFonts w:hAnsi="標楷體" w:hint="eastAsia"/>
        </w:rPr>
        <w:t>1</w:t>
      </w:r>
      <w:r w:rsidR="005C4036" w:rsidRPr="00A66D33">
        <w:rPr>
          <w:rFonts w:hAnsi="標楷體" w:hint="eastAsia"/>
        </w:rPr>
        <w:t>第</w:t>
      </w:r>
      <w:r w:rsidR="00C20CFF" w:rsidRPr="00A66D33">
        <w:rPr>
          <w:rFonts w:hAnsi="標楷體" w:hint="eastAsia"/>
        </w:rPr>
        <w:t>1</w:t>
      </w:r>
      <w:r w:rsidR="005C4036" w:rsidRPr="00A66D33">
        <w:rPr>
          <w:rFonts w:hAnsi="標楷體" w:hint="eastAsia"/>
        </w:rPr>
        <w:t>項規定有違憲疑義，然前者係有關檢察總長之任命方式，後者係有關特別偵查組織。而依聲請書所載，聲請人於本件中所行使之職權，係憲法第</w:t>
      </w:r>
      <w:r w:rsidR="00C20CFF" w:rsidRPr="00A66D33">
        <w:rPr>
          <w:rFonts w:hAnsi="標楷體" w:hint="eastAsia"/>
        </w:rPr>
        <w:t>95</w:t>
      </w:r>
      <w:r w:rsidR="005C4036" w:rsidRPr="00A66D33">
        <w:rPr>
          <w:rFonts w:hAnsi="標楷體" w:hint="eastAsia"/>
        </w:rPr>
        <w:t>條及第</w:t>
      </w:r>
      <w:r w:rsidR="00C20CFF" w:rsidRPr="00A66D33">
        <w:rPr>
          <w:rFonts w:hAnsi="標楷體" w:hint="eastAsia"/>
        </w:rPr>
        <w:t>97</w:t>
      </w:r>
      <w:r w:rsidR="005C4036" w:rsidRPr="00A66D33">
        <w:rPr>
          <w:rFonts w:hAnsi="標楷體" w:hint="eastAsia"/>
        </w:rPr>
        <w:t>條及監察法第</w:t>
      </w:r>
      <w:r w:rsidR="00C20CFF" w:rsidRPr="00A66D33">
        <w:rPr>
          <w:rFonts w:hAnsi="標楷體" w:hint="eastAsia"/>
        </w:rPr>
        <w:t>14</w:t>
      </w:r>
      <w:r w:rsidR="005C4036" w:rsidRPr="00A66D33">
        <w:rPr>
          <w:rFonts w:hAnsi="標楷體" w:hint="eastAsia"/>
        </w:rPr>
        <w:t>條所定之調查權及彈劾權，其所調查及彈劾之對象固為檢察總長，</w:t>
      </w:r>
      <w:r w:rsidR="005C4036" w:rsidRPr="00A66D33">
        <w:rPr>
          <w:rFonts w:hAnsi="標楷體" w:hint="eastAsia"/>
          <w:b/>
        </w:rPr>
        <w:t>惟於本件中行使調查權及彈劾權時，並未適用上開法院組織法之規定。</w:t>
      </w:r>
      <w:r w:rsidR="005C4036" w:rsidRPr="00A66D33">
        <w:rPr>
          <w:rFonts w:hAnsi="標楷體" w:hint="eastAsia"/>
        </w:rPr>
        <w:t>是其聲請核與司法院大法官審理案件法第</w:t>
      </w:r>
      <w:r w:rsidR="00C20CFF" w:rsidRPr="00A66D33">
        <w:rPr>
          <w:rFonts w:hAnsi="標楷體" w:hint="eastAsia"/>
        </w:rPr>
        <w:t>5</w:t>
      </w:r>
      <w:r w:rsidR="005C4036" w:rsidRPr="00A66D33">
        <w:rPr>
          <w:rFonts w:hAnsi="標楷體" w:hint="eastAsia"/>
        </w:rPr>
        <w:t>條第</w:t>
      </w:r>
      <w:r w:rsidR="00C20CFF" w:rsidRPr="00A66D33">
        <w:rPr>
          <w:rFonts w:hAnsi="標楷體" w:hint="eastAsia"/>
        </w:rPr>
        <w:t>1</w:t>
      </w:r>
      <w:r w:rsidR="005C4036" w:rsidRPr="00A66D33">
        <w:rPr>
          <w:rFonts w:hAnsi="標楷體" w:hint="eastAsia"/>
        </w:rPr>
        <w:t>項第</w:t>
      </w:r>
      <w:r w:rsidR="00C20CFF" w:rsidRPr="00A66D33">
        <w:rPr>
          <w:rFonts w:hAnsi="標楷體" w:hint="eastAsia"/>
        </w:rPr>
        <w:t>1</w:t>
      </w:r>
      <w:r w:rsidR="005C4036" w:rsidRPr="00A66D33">
        <w:rPr>
          <w:rFonts w:hAnsi="標楷體" w:hint="eastAsia"/>
        </w:rPr>
        <w:t>款規定不合，依同條第三項規定，應不受理。」</w:t>
      </w:r>
      <w:r w:rsidR="005C4036" w:rsidRPr="00A66D33">
        <w:rPr>
          <w:rStyle w:val="aff"/>
          <w:rFonts w:hAnsi="標楷體"/>
        </w:rPr>
        <w:footnoteReference w:id="16"/>
      </w:r>
      <w:r w:rsidR="00372777" w:rsidRPr="00A66D33">
        <w:rPr>
          <w:rFonts w:hAnsi="標楷體" w:hint="eastAsia"/>
        </w:rPr>
        <w:t>，經監察院詳</w:t>
      </w:r>
      <w:r w:rsidR="00372777" w:rsidRPr="00A66D33">
        <w:rPr>
          <w:rFonts w:hAnsi="標楷體" w:hint="eastAsia"/>
        </w:rPr>
        <w:lastRenderedPageBreak/>
        <w:t>查，該</w:t>
      </w:r>
      <w:r w:rsidR="005C4036" w:rsidRPr="00A66D33">
        <w:rPr>
          <w:rFonts w:hAnsi="標楷體" w:hint="eastAsia"/>
        </w:rPr>
        <w:t>件聲請書所附原調查報告確實從未引用法院組織法第</w:t>
      </w:r>
      <w:r w:rsidR="00001E81" w:rsidRPr="00A66D33">
        <w:rPr>
          <w:rFonts w:hAnsi="標楷體" w:hint="eastAsia"/>
        </w:rPr>
        <w:t>66</w:t>
      </w:r>
      <w:r w:rsidR="005C4036" w:rsidRPr="00A66D33">
        <w:rPr>
          <w:rFonts w:hAnsi="標楷體" w:hint="eastAsia"/>
        </w:rPr>
        <w:t>條第</w:t>
      </w:r>
      <w:r w:rsidR="00001E81" w:rsidRPr="00A66D33">
        <w:rPr>
          <w:rFonts w:hAnsi="標楷體" w:hint="eastAsia"/>
        </w:rPr>
        <w:t>7</w:t>
      </w:r>
      <w:r w:rsidR="005C4036" w:rsidRPr="00A66D33">
        <w:rPr>
          <w:rFonts w:hAnsi="標楷體" w:hint="eastAsia"/>
        </w:rPr>
        <w:t>項及第</w:t>
      </w:r>
      <w:r w:rsidR="00001E81" w:rsidRPr="00A66D33">
        <w:rPr>
          <w:rFonts w:hAnsi="標楷體" w:hint="eastAsia"/>
        </w:rPr>
        <w:t>63</w:t>
      </w:r>
      <w:r w:rsidR="005C4036" w:rsidRPr="00A66D33">
        <w:rPr>
          <w:rFonts w:hAnsi="標楷體" w:hint="eastAsia"/>
        </w:rPr>
        <w:t>條之</w:t>
      </w:r>
      <w:r w:rsidR="00001E81" w:rsidRPr="00A66D33">
        <w:rPr>
          <w:rFonts w:hAnsi="標楷體" w:hint="eastAsia"/>
        </w:rPr>
        <w:t>1</w:t>
      </w:r>
      <w:r w:rsidR="005C4036" w:rsidRPr="00A66D33">
        <w:rPr>
          <w:rFonts w:hAnsi="標楷體" w:hint="eastAsia"/>
        </w:rPr>
        <w:t>第</w:t>
      </w:r>
      <w:r w:rsidR="00001E81" w:rsidRPr="00A66D33">
        <w:rPr>
          <w:rFonts w:hAnsi="標楷體" w:hint="eastAsia"/>
        </w:rPr>
        <w:t>1</w:t>
      </w:r>
      <w:r w:rsidR="005C4036" w:rsidRPr="00A66D33">
        <w:rPr>
          <w:rFonts w:hAnsi="標楷體" w:hint="eastAsia"/>
        </w:rPr>
        <w:t>項規定</w:t>
      </w:r>
      <w:r w:rsidR="00372777" w:rsidRPr="00A66D33">
        <w:rPr>
          <w:rFonts w:hAnsi="標楷體" w:hint="eastAsia"/>
        </w:rPr>
        <w:t>。然就本案</w:t>
      </w:r>
      <w:r w:rsidR="005C4036" w:rsidRPr="00A66D33">
        <w:rPr>
          <w:rFonts w:hAnsi="標楷體" w:hint="eastAsia"/>
        </w:rPr>
        <w:t>調查而言，自始至終均適用「政黨及其附隨組織不當取得財產處理條例」顯有所不同。</w:t>
      </w:r>
    </w:p>
    <w:p w:rsidR="007A4762" w:rsidRPr="00A66D33" w:rsidRDefault="00A95FA9" w:rsidP="00213217">
      <w:pPr>
        <w:pStyle w:val="3"/>
      </w:pPr>
      <w:r w:rsidRPr="00A66D33">
        <w:rPr>
          <w:rFonts w:hint="eastAsia"/>
        </w:rPr>
        <w:t>監察院歷年聲請司法院大法官解釋</w:t>
      </w:r>
      <w:r w:rsidRPr="00A66D33">
        <w:rPr>
          <w:rFonts w:hAnsi="標楷體" w:hint="eastAsia"/>
        </w:rPr>
        <w:t>，</w:t>
      </w:r>
      <w:r w:rsidRPr="00A66D33">
        <w:rPr>
          <w:rFonts w:hint="eastAsia"/>
        </w:rPr>
        <w:t>大法官</w:t>
      </w:r>
      <w:r w:rsidR="009466BA" w:rsidRPr="00A66D33">
        <w:rPr>
          <w:rFonts w:hint="eastAsia"/>
        </w:rPr>
        <w:t>採取</w:t>
      </w:r>
      <w:r w:rsidR="006362AA" w:rsidRPr="00A66D33">
        <w:rPr>
          <w:rFonts w:hAnsi="標楷體" w:hint="eastAsia"/>
        </w:rPr>
        <w:t>「</w:t>
      </w:r>
      <w:r w:rsidR="006362AA" w:rsidRPr="00A66D33">
        <w:rPr>
          <w:rFonts w:hint="eastAsia"/>
        </w:rPr>
        <w:t>妥當合宜</w:t>
      </w:r>
      <w:r w:rsidR="006362AA" w:rsidRPr="00A66D33">
        <w:rPr>
          <w:rFonts w:hAnsi="標楷體" w:hint="eastAsia"/>
        </w:rPr>
        <w:t>」</w:t>
      </w:r>
      <w:r w:rsidR="006362AA" w:rsidRPr="00A66D33">
        <w:rPr>
          <w:rFonts w:hint="eastAsia"/>
        </w:rPr>
        <w:t>之受理</w:t>
      </w:r>
      <w:r w:rsidR="009466BA" w:rsidRPr="00A66D33">
        <w:rPr>
          <w:rFonts w:hint="eastAsia"/>
        </w:rPr>
        <w:t>標準</w:t>
      </w:r>
      <w:r w:rsidR="006362AA" w:rsidRPr="00A66D33">
        <w:rPr>
          <w:rFonts w:hAnsi="標楷體" w:hint="eastAsia"/>
        </w:rPr>
        <w:t>，</w:t>
      </w:r>
      <w:r w:rsidR="006362AA" w:rsidRPr="00A66D33">
        <w:rPr>
          <w:rFonts w:hint="eastAsia"/>
        </w:rPr>
        <w:t>並不全然拘泥於</w:t>
      </w:r>
      <w:r w:rsidR="00372777" w:rsidRPr="00A66D33">
        <w:rPr>
          <w:rFonts w:hint="eastAsia"/>
        </w:rPr>
        <w:t>受理</w:t>
      </w:r>
      <w:r w:rsidR="006362AA" w:rsidRPr="00A66D33">
        <w:rPr>
          <w:rFonts w:hint="eastAsia"/>
        </w:rPr>
        <w:t>程序</w:t>
      </w:r>
      <w:r w:rsidR="009466BA" w:rsidRPr="00A66D33">
        <w:rPr>
          <w:rFonts w:hAnsi="標楷體" w:hint="eastAsia"/>
        </w:rPr>
        <w:t>，</w:t>
      </w:r>
      <w:r w:rsidR="00B1138C" w:rsidRPr="00A66D33">
        <w:rPr>
          <w:rFonts w:hAnsi="標楷體" w:hint="eastAsia"/>
        </w:rPr>
        <w:t>有關法令違背憲法等涉及人權保障之解釋，大都為監察院所提出。</w:t>
      </w:r>
      <w:r w:rsidR="009466BA" w:rsidRPr="00A66D33">
        <w:rPr>
          <w:rFonts w:hAnsi="標楷體" w:hint="eastAsia"/>
        </w:rPr>
        <w:t>惟</w:t>
      </w:r>
      <w:r w:rsidR="00A83065" w:rsidRPr="00A66D33">
        <w:rPr>
          <w:rFonts w:hAnsi="標楷體" w:hint="eastAsia"/>
        </w:rPr>
        <w:t>詳查</w:t>
      </w:r>
      <w:r w:rsidR="009466BA" w:rsidRPr="00A66D33">
        <w:rPr>
          <w:rFonts w:hint="eastAsia"/>
        </w:rPr>
        <w:t>本件聲請書之程序與實體理由</w:t>
      </w:r>
      <w:r w:rsidR="009466BA" w:rsidRPr="00A66D33">
        <w:rPr>
          <w:rFonts w:hAnsi="標楷體" w:hint="eastAsia"/>
        </w:rPr>
        <w:t>，</w:t>
      </w:r>
      <w:r w:rsidR="009466BA" w:rsidRPr="00A66D33">
        <w:rPr>
          <w:rFonts w:hint="eastAsia"/>
        </w:rPr>
        <w:t>均較本院前</w:t>
      </w:r>
      <w:r w:rsidR="00B1138C" w:rsidRPr="00A66D33">
        <w:rPr>
          <w:rFonts w:hint="eastAsia"/>
        </w:rPr>
        <w:t>諸</w:t>
      </w:r>
      <w:r w:rsidR="009466BA" w:rsidRPr="00A66D33">
        <w:rPr>
          <w:rFonts w:hint="eastAsia"/>
        </w:rPr>
        <w:t>所提</w:t>
      </w:r>
      <w:r w:rsidR="00610180" w:rsidRPr="00A66D33">
        <w:rPr>
          <w:rFonts w:hint="eastAsia"/>
        </w:rPr>
        <w:t>各</w:t>
      </w:r>
      <w:r w:rsidR="00372777" w:rsidRPr="00A66D33">
        <w:rPr>
          <w:rFonts w:hint="eastAsia"/>
        </w:rPr>
        <w:t>件</w:t>
      </w:r>
      <w:r w:rsidR="00213217" w:rsidRPr="00A66D33">
        <w:rPr>
          <w:rFonts w:hint="eastAsia"/>
        </w:rPr>
        <w:t>釋憲聲請書，或甚為</w:t>
      </w:r>
      <w:r w:rsidR="009466BA" w:rsidRPr="00A66D33">
        <w:rPr>
          <w:rFonts w:hint="eastAsia"/>
        </w:rPr>
        <w:t>周延</w:t>
      </w:r>
      <w:r w:rsidR="006A5977" w:rsidRPr="00A66D33">
        <w:rPr>
          <w:rFonts w:hint="eastAsia"/>
        </w:rPr>
        <w:t>與詳盡</w:t>
      </w:r>
      <w:r w:rsidR="009466BA" w:rsidRPr="00A66D33">
        <w:rPr>
          <w:rFonts w:hAnsi="標楷體" w:hint="eastAsia"/>
        </w:rPr>
        <w:t>，</w:t>
      </w:r>
      <w:r w:rsidR="00B1138C" w:rsidRPr="00A66D33">
        <w:rPr>
          <w:rFonts w:hint="eastAsia"/>
        </w:rPr>
        <w:t>業經</w:t>
      </w:r>
      <w:r w:rsidR="009466BA" w:rsidRPr="00A66D33">
        <w:rPr>
          <w:rFonts w:hint="eastAsia"/>
        </w:rPr>
        <w:t>本院各委員會與院會長達</w:t>
      </w:r>
      <w:r w:rsidR="00001E81" w:rsidRPr="00A66D33">
        <w:rPr>
          <w:rFonts w:hint="eastAsia"/>
        </w:rPr>
        <w:t>3</w:t>
      </w:r>
      <w:r w:rsidR="009466BA" w:rsidRPr="00A66D33">
        <w:rPr>
          <w:rFonts w:hint="eastAsia"/>
        </w:rPr>
        <w:t>個月審查</w:t>
      </w:r>
      <w:r w:rsidR="009466BA" w:rsidRPr="00A66D33">
        <w:rPr>
          <w:rFonts w:hAnsi="標楷體" w:hint="eastAsia"/>
        </w:rPr>
        <w:t>，</w:t>
      </w:r>
      <w:r w:rsidR="009466BA" w:rsidRPr="00A66D33">
        <w:rPr>
          <w:rFonts w:hint="eastAsia"/>
        </w:rPr>
        <w:t>其所述理由無一不符合司法院大法官</w:t>
      </w:r>
      <w:r w:rsidR="009D103A" w:rsidRPr="00A66D33">
        <w:rPr>
          <w:rFonts w:ascii="Arial" w:cs="Arial"/>
          <w:shd w:val="clear" w:color="auto" w:fill="FFFFFF"/>
        </w:rPr>
        <w:t>審理</w:t>
      </w:r>
      <w:r w:rsidR="009466BA" w:rsidRPr="00A66D33">
        <w:rPr>
          <w:rFonts w:hint="eastAsia"/>
        </w:rPr>
        <w:t>案件法第5條第1項第1款規定</w:t>
      </w:r>
      <w:r w:rsidR="00B1138C" w:rsidRPr="00A66D33">
        <w:rPr>
          <w:rFonts w:hint="eastAsia"/>
        </w:rPr>
        <w:t>要求</w:t>
      </w:r>
      <w:r w:rsidR="009466BA" w:rsidRPr="00A66D33">
        <w:rPr>
          <w:rFonts w:hAnsi="標楷體" w:hint="eastAsia"/>
        </w:rPr>
        <w:t>，</w:t>
      </w:r>
      <w:r w:rsidR="00213217" w:rsidRPr="00A66D33">
        <w:rPr>
          <w:rFonts w:hint="eastAsia"/>
        </w:rPr>
        <w:t>尚無</w:t>
      </w:r>
      <w:r w:rsidR="009466BA" w:rsidRPr="00A66D33">
        <w:rPr>
          <w:rFonts w:hint="eastAsia"/>
        </w:rPr>
        <w:t>不受理之</w:t>
      </w:r>
      <w:r w:rsidR="006362AA" w:rsidRPr="00A66D33">
        <w:rPr>
          <w:rFonts w:hint="eastAsia"/>
        </w:rPr>
        <w:t>任何法律依據與</w:t>
      </w:r>
      <w:r w:rsidR="009466BA" w:rsidRPr="00A66D33">
        <w:rPr>
          <w:rFonts w:hint="eastAsia"/>
        </w:rPr>
        <w:t>理由</w:t>
      </w:r>
      <w:r w:rsidR="009466BA" w:rsidRPr="00A66D33">
        <w:rPr>
          <w:rFonts w:hAnsi="標楷體" w:hint="eastAsia"/>
        </w:rPr>
        <w:t>。</w:t>
      </w:r>
    </w:p>
    <w:p w:rsidR="009466BA" w:rsidRPr="00A66D33" w:rsidRDefault="009466BA" w:rsidP="009466BA">
      <w:pPr>
        <w:pStyle w:val="4"/>
      </w:pPr>
      <w:r w:rsidRPr="00A66D33">
        <w:rPr>
          <w:rFonts w:hint="eastAsia"/>
        </w:rPr>
        <w:t>解嚴前大法官將監察院作為人權保障機關</w:t>
      </w:r>
      <w:r w:rsidRPr="00A66D33">
        <w:rPr>
          <w:rFonts w:hAnsi="標楷體" w:hint="eastAsia"/>
        </w:rPr>
        <w:t>，</w:t>
      </w:r>
      <w:r w:rsidR="00A83065" w:rsidRPr="00A66D33">
        <w:rPr>
          <w:rFonts w:hAnsi="標楷體" w:hint="eastAsia"/>
        </w:rPr>
        <w:t>故</w:t>
      </w:r>
      <w:r w:rsidR="00372777" w:rsidRPr="00A66D33">
        <w:rPr>
          <w:rFonts w:hAnsi="標楷體" w:hint="eastAsia"/>
        </w:rPr>
        <w:t>曾</w:t>
      </w:r>
      <w:r w:rsidRPr="00A66D33">
        <w:rPr>
          <w:rFonts w:hint="eastAsia"/>
        </w:rPr>
        <w:t>發生未經監察院院會決議</w:t>
      </w:r>
      <w:r w:rsidRPr="00A66D33">
        <w:rPr>
          <w:rFonts w:hAnsi="標楷體" w:hint="eastAsia"/>
        </w:rPr>
        <w:t>，</w:t>
      </w:r>
      <w:r w:rsidRPr="00A66D33">
        <w:rPr>
          <w:rFonts w:hint="eastAsia"/>
        </w:rPr>
        <w:t>司法院大法官均予受理</w:t>
      </w:r>
      <w:r w:rsidRPr="00A66D33">
        <w:rPr>
          <w:rFonts w:hAnsi="標楷體" w:hint="eastAsia"/>
        </w:rPr>
        <w:t>，</w:t>
      </w:r>
      <w:r w:rsidRPr="00A66D33">
        <w:rPr>
          <w:rFonts w:hint="eastAsia"/>
        </w:rPr>
        <w:t>並做成解釋之情形</w:t>
      </w:r>
      <w:r w:rsidRPr="00A66D33">
        <w:rPr>
          <w:rFonts w:hAnsi="標楷體" w:hint="eastAsia"/>
        </w:rPr>
        <w:t>，</w:t>
      </w:r>
      <w:r w:rsidRPr="00A66D33">
        <w:rPr>
          <w:rFonts w:hint="eastAsia"/>
        </w:rPr>
        <w:t>如</w:t>
      </w:r>
      <w:r w:rsidR="00AC2206" w:rsidRPr="00A66D33">
        <w:rPr>
          <w:rFonts w:hAnsi="標楷體" w:hint="eastAsia"/>
        </w:rPr>
        <w:t>釋字</w:t>
      </w:r>
      <w:r w:rsidR="00775293" w:rsidRPr="00A66D33">
        <w:rPr>
          <w:rFonts w:hAnsi="標楷體" w:hint="eastAsia"/>
        </w:rPr>
        <w:t>第</w:t>
      </w:r>
      <w:r w:rsidR="00AC2206" w:rsidRPr="00A66D33">
        <w:rPr>
          <w:rFonts w:hAnsi="標楷體" w:hint="eastAsia"/>
        </w:rPr>
        <w:t>33</w:t>
      </w:r>
      <w:r w:rsidR="00775293" w:rsidRPr="00A66D33">
        <w:rPr>
          <w:rFonts w:hAnsi="標楷體" w:hint="eastAsia"/>
        </w:rPr>
        <w:t>號解釋（附件</w:t>
      </w:r>
      <w:r w:rsidR="00775293" w:rsidRPr="00A66D33">
        <w:rPr>
          <w:rFonts w:hint="eastAsia"/>
        </w:rPr>
        <w:t>編號7</w:t>
      </w:r>
      <w:r w:rsidR="00775293" w:rsidRPr="00A66D33">
        <w:rPr>
          <w:rFonts w:hAnsi="標楷體" w:hint="eastAsia"/>
        </w:rPr>
        <w:t>）</w:t>
      </w:r>
      <w:r w:rsidRPr="00A66D33">
        <w:rPr>
          <w:rFonts w:hAnsi="標楷體" w:hint="eastAsia"/>
        </w:rPr>
        <w:t>、</w:t>
      </w:r>
      <w:r w:rsidR="00AC2206" w:rsidRPr="00A66D33">
        <w:rPr>
          <w:rFonts w:hAnsi="標楷體" w:hint="eastAsia"/>
        </w:rPr>
        <w:t>釋字</w:t>
      </w:r>
      <w:r w:rsidR="00775293" w:rsidRPr="00A66D33">
        <w:rPr>
          <w:rFonts w:hAnsi="標楷體" w:hint="eastAsia"/>
        </w:rPr>
        <w:t>第</w:t>
      </w:r>
      <w:r w:rsidR="00AC2206" w:rsidRPr="00A66D33">
        <w:rPr>
          <w:rFonts w:hAnsi="標楷體" w:hint="eastAsia"/>
        </w:rPr>
        <w:t>86</w:t>
      </w:r>
      <w:r w:rsidR="004954FD" w:rsidRPr="00A66D33">
        <w:rPr>
          <w:rFonts w:hAnsi="標楷體" w:hint="eastAsia"/>
        </w:rPr>
        <w:t>號</w:t>
      </w:r>
      <w:r w:rsidR="00775293" w:rsidRPr="00A66D33">
        <w:rPr>
          <w:rFonts w:hAnsi="標楷體" w:hint="eastAsia"/>
        </w:rPr>
        <w:t>解釋（附件</w:t>
      </w:r>
      <w:r w:rsidR="00775293" w:rsidRPr="00A66D33">
        <w:rPr>
          <w:rFonts w:hint="eastAsia"/>
        </w:rPr>
        <w:t>編號8</w:t>
      </w:r>
      <w:r w:rsidR="00775293" w:rsidRPr="00A66D33">
        <w:rPr>
          <w:rFonts w:hAnsi="標楷體" w:hint="eastAsia"/>
        </w:rPr>
        <w:t>）</w:t>
      </w:r>
      <w:r w:rsidRPr="00A66D33">
        <w:rPr>
          <w:rFonts w:hAnsi="標楷體" w:hint="eastAsia"/>
        </w:rPr>
        <w:t>、</w:t>
      </w:r>
      <w:r w:rsidR="00AC2206" w:rsidRPr="00A66D33">
        <w:rPr>
          <w:rFonts w:hint="eastAsia"/>
        </w:rPr>
        <w:t>釋字</w:t>
      </w:r>
      <w:r w:rsidR="00775293" w:rsidRPr="00A66D33">
        <w:rPr>
          <w:rFonts w:hAnsi="標楷體" w:hint="eastAsia"/>
        </w:rPr>
        <w:t>第</w:t>
      </w:r>
      <w:r w:rsidR="00AC2206" w:rsidRPr="00A66D33">
        <w:rPr>
          <w:rFonts w:hint="eastAsia"/>
        </w:rPr>
        <w:t>60</w:t>
      </w:r>
      <w:r w:rsidR="004954FD" w:rsidRPr="00A66D33">
        <w:rPr>
          <w:rFonts w:hAnsi="標楷體" w:hint="eastAsia"/>
        </w:rPr>
        <w:t>號</w:t>
      </w:r>
      <w:r w:rsidR="00775293" w:rsidRPr="00A66D33">
        <w:rPr>
          <w:rFonts w:hAnsi="標楷體" w:hint="eastAsia"/>
        </w:rPr>
        <w:t>解釋（附件</w:t>
      </w:r>
      <w:r w:rsidR="00775293" w:rsidRPr="00A66D33">
        <w:rPr>
          <w:rFonts w:hint="eastAsia"/>
        </w:rPr>
        <w:t>編號10</w:t>
      </w:r>
      <w:r w:rsidR="00775293" w:rsidRPr="00A66D33">
        <w:rPr>
          <w:rFonts w:hAnsi="標楷體" w:hint="eastAsia"/>
        </w:rPr>
        <w:t>）</w:t>
      </w:r>
      <w:r w:rsidRPr="00A66D33">
        <w:rPr>
          <w:rFonts w:hAnsi="標楷體" w:hint="eastAsia"/>
        </w:rPr>
        <w:t>。</w:t>
      </w:r>
    </w:p>
    <w:p w:rsidR="00A83065" w:rsidRPr="00A66D33" w:rsidRDefault="00B1138C" w:rsidP="00A83065">
      <w:pPr>
        <w:pStyle w:val="4"/>
        <w:rPr>
          <w:rFonts w:hAnsi="標楷體"/>
        </w:rPr>
      </w:pPr>
      <w:r w:rsidRPr="00A66D33">
        <w:rPr>
          <w:rFonts w:hint="eastAsia"/>
        </w:rPr>
        <w:lastRenderedPageBreak/>
        <w:t>解嚴前司法院大法官會議解釋，有關法令違背憲法等涉及人權保障之解釋，</w:t>
      </w:r>
      <w:r w:rsidR="00A83065" w:rsidRPr="00A66D33">
        <w:rPr>
          <w:rFonts w:hint="eastAsia"/>
        </w:rPr>
        <w:t>而為</w:t>
      </w:r>
      <w:r w:rsidR="00372777" w:rsidRPr="00A66D33">
        <w:rPr>
          <w:rFonts w:hint="eastAsia"/>
        </w:rPr>
        <w:t>歷屆</w:t>
      </w:r>
      <w:r w:rsidR="00996A32" w:rsidRPr="00A66D33">
        <w:rPr>
          <w:rFonts w:hAnsi="標楷體" w:hint="eastAsia"/>
          <w:b/>
        </w:rPr>
        <w:t>司法院大法官</w:t>
      </w:r>
      <w:r w:rsidR="004B019E" w:rsidRPr="00A66D33">
        <w:rPr>
          <w:rFonts w:hAnsi="標楷體" w:hint="eastAsia"/>
          <w:b/>
        </w:rPr>
        <w:t>所</w:t>
      </w:r>
      <w:r w:rsidR="00996A32" w:rsidRPr="00A66D33">
        <w:rPr>
          <w:rFonts w:hAnsi="標楷體" w:hint="eastAsia"/>
          <w:b/>
        </w:rPr>
        <w:t>自豪</w:t>
      </w:r>
      <w:r w:rsidR="00A83065" w:rsidRPr="00A66D33">
        <w:rPr>
          <w:rFonts w:hint="eastAsia"/>
        </w:rPr>
        <w:t>並</w:t>
      </w:r>
      <w:r w:rsidR="00996A32" w:rsidRPr="00A66D33">
        <w:rPr>
          <w:rFonts w:hint="eastAsia"/>
        </w:rPr>
        <w:t>為世人事後所稱頌者，</w:t>
      </w:r>
      <w:r w:rsidRPr="00A66D33">
        <w:rPr>
          <w:rFonts w:hint="eastAsia"/>
        </w:rPr>
        <w:t>大都為監察院所</w:t>
      </w:r>
      <w:r w:rsidR="00996A32" w:rsidRPr="00A66D33">
        <w:rPr>
          <w:rFonts w:hint="eastAsia"/>
        </w:rPr>
        <w:t>聲請</w:t>
      </w:r>
      <w:r w:rsidR="00A83065" w:rsidRPr="00A66D33">
        <w:rPr>
          <w:rFonts w:hAnsi="標楷體" w:hint="eastAsia"/>
        </w:rPr>
        <w:t>，司法院大法官亦從未就有無行使職權加以審查 ，縱涉及與行政權與立法權相衝突，司法院大法官仍與受理，僅係拖延審查時間，但</w:t>
      </w:r>
      <w:r w:rsidR="00372777" w:rsidRPr="00A66D33">
        <w:rPr>
          <w:rFonts w:hAnsi="標楷體" w:hint="eastAsia"/>
        </w:rPr>
        <w:t>曾</w:t>
      </w:r>
      <w:r w:rsidR="00A83065" w:rsidRPr="00A66D33">
        <w:rPr>
          <w:rFonts w:hAnsi="標楷體" w:hint="eastAsia"/>
        </w:rPr>
        <w:t>遭</w:t>
      </w:r>
      <w:r w:rsidR="008C168C" w:rsidRPr="00A66D33">
        <w:rPr>
          <w:rFonts w:hAnsi="標楷體" w:hint="eastAsia"/>
        </w:rPr>
        <w:t>翁岳生前院長</w:t>
      </w:r>
      <w:r w:rsidR="00A83065" w:rsidRPr="00A66D33">
        <w:rPr>
          <w:rFonts w:hAnsi="標楷體" w:hint="eastAsia"/>
        </w:rPr>
        <w:t>批評。</w:t>
      </w:r>
    </w:p>
    <w:p w:rsidR="00410BD6" w:rsidRPr="00A66D33" w:rsidRDefault="00410BD6" w:rsidP="00410BD6">
      <w:pPr>
        <w:pStyle w:val="5"/>
      </w:pPr>
      <w:r w:rsidRPr="00A66D33">
        <w:rPr>
          <w:rFonts w:hint="eastAsia"/>
        </w:rPr>
        <w:t>解嚴前</w:t>
      </w:r>
      <w:r w:rsidR="00A83065" w:rsidRPr="00A66D33">
        <w:rPr>
          <w:rFonts w:hint="eastAsia"/>
        </w:rPr>
        <w:t>有關法令違背憲法等涉及人權保障之解釋，大都為監察院聲請</w:t>
      </w:r>
      <w:r w:rsidRPr="00A66D33">
        <w:rPr>
          <w:rFonts w:hAnsi="標楷體" w:hint="eastAsia"/>
        </w:rPr>
        <w:t>，</w:t>
      </w:r>
      <w:r w:rsidR="00B0650F" w:rsidRPr="00A66D33">
        <w:rPr>
          <w:rFonts w:hAnsi="標楷體" w:hint="eastAsia"/>
        </w:rPr>
        <w:t>俾</w:t>
      </w:r>
      <w:r w:rsidR="00A83065" w:rsidRPr="00A66D33">
        <w:rPr>
          <w:rFonts w:hAnsi="標楷體" w:hint="eastAsia"/>
        </w:rPr>
        <w:t>善盡憲法忠誠義務。</w:t>
      </w:r>
    </w:p>
    <w:p w:rsidR="00AC2206" w:rsidRPr="00A66D33" w:rsidRDefault="00AC2206" w:rsidP="00BE26EA">
      <w:pPr>
        <w:pStyle w:val="51"/>
        <w:ind w:left="2041" w:firstLine="680"/>
      </w:pPr>
      <w:r w:rsidRPr="00A66D33">
        <w:rPr>
          <w:rFonts w:hint="eastAsia"/>
        </w:rPr>
        <w:t>解嚴前有關法令違背憲法等涉及人權保障之解釋，監察院所提出之法令違憲解釋</w:t>
      </w:r>
      <w:r w:rsidR="00CD2A83" w:rsidRPr="00A66D33">
        <w:rPr>
          <w:rFonts w:hAnsi="標楷體" w:hint="eastAsia"/>
        </w:rPr>
        <w:t>，</w:t>
      </w:r>
      <w:r w:rsidR="006A5977" w:rsidRPr="00A66D33">
        <w:rPr>
          <w:rFonts w:hAnsi="標楷體" w:hint="eastAsia"/>
        </w:rPr>
        <w:t>舉其要者如下：</w:t>
      </w:r>
    </w:p>
    <w:p w:rsidR="00AC2206" w:rsidRPr="00A66D33" w:rsidRDefault="00AC2206" w:rsidP="00BE26EA">
      <w:pPr>
        <w:pStyle w:val="6"/>
      </w:pPr>
      <w:r w:rsidRPr="00A66D33">
        <w:rPr>
          <w:rFonts w:hint="eastAsia"/>
        </w:rPr>
        <w:t>審檢分立的問題：</w:t>
      </w:r>
      <w:r w:rsidR="00732D4C" w:rsidRPr="00A66D33">
        <w:rPr>
          <w:rFonts w:hint="eastAsia"/>
        </w:rPr>
        <w:t>監察院行使調查權就</w:t>
      </w:r>
      <w:r w:rsidRPr="00A66D33">
        <w:rPr>
          <w:rFonts w:hint="eastAsia"/>
        </w:rPr>
        <w:t>高等法院及地方法院之民刑訴訟，併由司法行政部主管，是否與憲法第77條之規定相違背。（附件編號8，</w:t>
      </w:r>
      <w:r w:rsidR="00775293" w:rsidRPr="00A66D33">
        <w:rPr>
          <w:rFonts w:hint="eastAsia"/>
        </w:rPr>
        <w:t>釋字第86</w:t>
      </w:r>
      <w:r w:rsidR="004954FD" w:rsidRPr="00A66D33">
        <w:rPr>
          <w:rFonts w:hAnsi="標楷體" w:hint="eastAsia"/>
        </w:rPr>
        <w:t>號</w:t>
      </w:r>
      <w:r w:rsidR="00775293" w:rsidRPr="00A66D33">
        <w:rPr>
          <w:rFonts w:hint="eastAsia"/>
        </w:rPr>
        <w:t>解釋</w:t>
      </w:r>
      <w:r w:rsidRPr="00A66D33">
        <w:rPr>
          <w:rFonts w:hint="eastAsia"/>
        </w:rPr>
        <w:t>）</w:t>
      </w:r>
    </w:p>
    <w:p w:rsidR="00AC2206" w:rsidRPr="00A66D33" w:rsidRDefault="00AC2206" w:rsidP="00BE26EA">
      <w:pPr>
        <w:pStyle w:val="6"/>
      </w:pPr>
      <w:r w:rsidRPr="00A66D33">
        <w:rPr>
          <w:rFonts w:hint="eastAsia"/>
        </w:rPr>
        <w:t>叛亂犯脫離組織問題</w:t>
      </w:r>
      <w:r w:rsidR="004B019E" w:rsidRPr="00A66D33">
        <w:rPr>
          <w:rFonts w:hAnsi="標楷體" w:hint="eastAsia"/>
        </w:rPr>
        <w:t>（此為統一解釋）</w:t>
      </w:r>
      <w:r w:rsidRPr="00A66D33">
        <w:rPr>
          <w:rStyle w:val="aff"/>
          <w:rFonts w:hAnsi="標楷體"/>
        </w:rPr>
        <w:footnoteReference w:id="17"/>
      </w:r>
      <w:r w:rsidR="00CD2A83" w:rsidRPr="00A66D33">
        <w:rPr>
          <w:rFonts w:hint="eastAsia"/>
        </w:rPr>
        <w:t>：</w:t>
      </w:r>
      <w:r w:rsidR="00732D4C" w:rsidRPr="00A66D33">
        <w:rPr>
          <w:rFonts w:hint="eastAsia"/>
          <w:b/>
        </w:rPr>
        <w:t>監察院行使調查權調查本案</w:t>
      </w:r>
      <w:r w:rsidR="00732D4C" w:rsidRPr="00A66D33">
        <w:rPr>
          <w:rFonts w:hAnsi="標楷體" w:hint="eastAsia"/>
        </w:rPr>
        <w:t>，</w:t>
      </w:r>
      <w:r w:rsidR="00CD2A83" w:rsidRPr="00A66D33">
        <w:rPr>
          <w:rFonts w:hint="eastAsia"/>
          <w:b/>
          <w:u w:val="single"/>
        </w:rPr>
        <w:t>監察院站在保障人權之立場，</w:t>
      </w:r>
      <w:r w:rsidR="006A5977" w:rsidRPr="00A66D33">
        <w:rPr>
          <w:rFonts w:hint="eastAsia"/>
          <w:b/>
          <w:u w:val="single"/>
        </w:rPr>
        <w:t>惟當時</w:t>
      </w:r>
      <w:r w:rsidR="00CD2A83" w:rsidRPr="00A66D33">
        <w:rPr>
          <w:rFonts w:hint="eastAsia"/>
          <w:b/>
          <w:u w:val="single"/>
        </w:rPr>
        <w:t>大法官站在維護</w:t>
      </w:r>
      <w:r w:rsidR="006A5977" w:rsidRPr="00A66D33">
        <w:rPr>
          <w:rFonts w:hint="eastAsia"/>
          <w:b/>
          <w:u w:val="single"/>
        </w:rPr>
        <w:t>行</w:t>
      </w:r>
      <w:r w:rsidR="00CD2A83" w:rsidRPr="00A66D33">
        <w:rPr>
          <w:rFonts w:hint="eastAsia"/>
          <w:b/>
          <w:u w:val="single"/>
        </w:rPr>
        <w:t>政</w:t>
      </w:r>
      <w:r w:rsidR="00CD2A83" w:rsidRPr="00A66D33">
        <w:rPr>
          <w:rFonts w:hint="eastAsia"/>
          <w:b/>
          <w:u w:val="single"/>
        </w:rPr>
        <w:lastRenderedPageBreak/>
        <w:t>權之立場</w:t>
      </w:r>
      <w:r w:rsidR="00CD2A83" w:rsidRPr="00A66D33">
        <w:rPr>
          <w:rFonts w:hint="eastAsia"/>
        </w:rPr>
        <w:t>稱：「凡曾參加叛亂組織者，在未經自首或有其他事實證明其確已脫離組織以前，自應認為係繼續參加。」（</w:t>
      </w:r>
      <w:r w:rsidR="00CD2A83" w:rsidRPr="00A66D33">
        <w:rPr>
          <w:rFonts w:hAnsi="標楷體" w:hint="eastAsia"/>
        </w:rPr>
        <w:t>附件編號11，</w:t>
      </w:r>
      <w:r w:rsidR="00775293" w:rsidRPr="00A66D33">
        <w:rPr>
          <w:rFonts w:hint="eastAsia"/>
        </w:rPr>
        <w:t>釋字</w:t>
      </w:r>
      <w:r w:rsidR="00775293" w:rsidRPr="00A66D33">
        <w:rPr>
          <w:rFonts w:hAnsi="標楷體" w:hint="eastAsia"/>
        </w:rPr>
        <w:t>第</w:t>
      </w:r>
      <w:r w:rsidR="00775293" w:rsidRPr="00A66D33">
        <w:rPr>
          <w:rFonts w:hint="eastAsia"/>
        </w:rPr>
        <w:t>68</w:t>
      </w:r>
      <w:r w:rsidR="004954FD" w:rsidRPr="00A66D33">
        <w:rPr>
          <w:rFonts w:hAnsi="標楷體" w:hint="eastAsia"/>
        </w:rPr>
        <w:t>號</w:t>
      </w:r>
      <w:r w:rsidR="00775293" w:rsidRPr="00A66D33">
        <w:rPr>
          <w:rFonts w:hAnsi="標楷體" w:hint="eastAsia"/>
        </w:rPr>
        <w:t>解釋</w:t>
      </w:r>
      <w:r w:rsidR="00CD2A83" w:rsidRPr="00A66D33">
        <w:rPr>
          <w:rFonts w:hint="eastAsia"/>
        </w:rPr>
        <w:t>）</w:t>
      </w:r>
    </w:p>
    <w:p w:rsidR="00CD2A83" w:rsidRPr="00A66D33" w:rsidRDefault="00CD2A83" w:rsidP="00BE26EA">
      <w:pPr>
        <w:pStyle w:val="6"/>
      </w:pPr>
      <w:r w:rsidRPr="00A66D33">
        <w:rPr>
          <w:rFonts w:hint="eastAsia"/>
        </w:rPr>
        <w:t>出版法與違警罰法是否違憲</w:t>
      </w:r>
      <w:r w:rsidRPr="00A66D33">
        <w:rPr>
          <w:rStyle w:val="aff"/>
        </w:rPr>
        <w:footnoteReference w:id="18"/>
      </w:r>
      <w:r w:rsidR="006A5977" w:rsidRPr="00A66D33">
        <w:rPr>
          <w:rFonts w:hint="eastAsia"/>
        </w:rPr>
        <w:t>：</w:t>
      </w:r>
      <w:r w:rsidR="00732D4C" w:rsidRPr="00A66D33">
        <w:rPr>
          <w:rFonts w:hint="eastAsia"/>
          <w:b/>
        </w:rPr>
        <w:t>監察院行使調查權</w:t>
      </w:r>
      <w:r w:rsidR="006A5977" w:rsidRPr="00A66D33">
        <w:rPr>
          <w:rFonts w:hint="eastAsia"/>
        </w:rPr>
        <w:t>站在保障人權立場，於50年6月8日監察院第1屆第686次會議一併提出，大法官並未</w:t>
      </w:r>
      <w:r w:rsidR="00610180" w:rsidRPr="00A66D33">
        <w:rPr>
          <w:rFonts w:hint="eastAsia"/>
        </w:rPr>
        <w:t>如同本件</w:t>
      </w:r>
      <w:r w:rsidR="00996A32" w:rsidRPr="00A66D33">
        <w:rPr>
          <w:rFonts w:hint="eastAsia"/>
        </w:rPr>
        <w:t>處理方式</w:t>
      </w:r>
      <w:r w:rsidR="00610180" w:rsidRPr="00A66D33">
        <w:rPr>
          <w:rFonts w:hint="eastAsia"/>
        </w:rPr>
        <w:t>，</w:t>
      </w:r>
      <w:r w:rsidR="00996A32" w:rsidRPr="00A66D33">
        <w:rPr>
          <w:rFonts w:hint="eastAsia"/>
        </w:rPr>
        <w:t>先</w:t>
      </w:r>
      <w:r w:rsidR="006A5977" w:rsidRPr="00A66D33">
        <w:rPr>
          <w:rFonts w:hint="eastAsia"/>
        </w:rPr>
        <w:t>質疑</w:t>
      </w:r>
      <w:r w:rsidR="00996A32" w:rsidRPr="00A66D33">
        <w:rPr>
          <w:rFonts w:hint="eastAsia"/>
        </w:rPr>
        <w:t>監察院</w:t>
      </w:r>
      <w:r w:rsidR="006A5977" w:rsidRPr="00A66D33">
        <w:rPr>
          <w:rFonts w:hint="eastAsia"/>
        </w:rPr>
        <w:t>「</w:t>
      </w:r>
      <w:r w:rsidR="00610180" w:rsidRPr="00A66D33">
        <w:rPr>
          <w:rFonts w:hAnsi="標楷體" w:hint="eastAsia"/>
        </w:rPr>
        <w:t>行使何種職權」，「如何適用</w:t>
      </w:r>
      <w:r w:rsidR="006A5977" w:rsidRPr="00A66D33">
        <w:rPr>
          <w:rFonts w:hint="eastAsia"/>
        </w:rPr>
        <w:t>」</w:t>
      </w:r>
      <w:r w:rsidR="00610180" w:rsidRPr="00A66D33">
        <w:rPr>
          <w:rFonts w:hAnsi="標楷體" w:hint="eastAsia"/>
        </w:rPr>
        <w:t>，</w:t>
      </w:r>
      <w:r w:rsidR="00610180" w:rsidRPr="00A66D33">
        <w:rPr>
          <w:rFonts w:hint="eastAsia"/>
        </w:rPr>
        <w:t>然卻拖延</w:t>
      </w:r>
      <w:r w:rsidR="004B019E" w:rsidRPr="00A66D33">
        <w:rPr>
          <w:rFonts w:hint="eastAsia"/>
        </w:rPr>
        <w:t>該件</w:t>
      </w:r>
      <w:r w:rsidR="00610180" w:rsidRPr="00A66D33">
        <w:rPr>
          <w:rFonts w:hint="eastAsia"/>
        </w:rPr>
        <w:t>解釋時間分別解釋</w:t>
      </w:r>
      <w:r w:rsidR="00610180" w:rsidRPr="00A66D33">
        <w:rPr>
          <w:rFonts w:hAnsi="標楷體" w:hint="eastAsia"/>
        </w:rPr>
        <w:t>，</w:t>
      </w:r>
      <w:r w:rsidR="00610180" w:rsidRPr="00A66D33">
        <w:rPr>
          <w:rFonts w:hint="eastAsia"/>
        </w:rPr>
        <w:t>出版法部分至53年10月7日釋字第105號解釋</w:t>
      </w:r>
      <w:r w:rsidR="00996A32" w:rsidRPr="00A66D33">
        <w:rPr>
          <w:rFonts w:hint="eastAsia"/>
        </w:rPr>
        <w:t>宣告</w:t>
      </w:r>
      <w:r w:rsidR="00610180" w:rsidRPr="00A66D33">
        <w:rPr>
          <w:rFonts w:hint="eastAsia"/>
        </w:rPr>
        <w:t>違憲</w:t>
      </w:r>
      <w:r w:rsidR="00610180" w:rsidRPr="00A66D33">
        <w:rPr>
          <w:rFonts w:hAnsi="標楷體" w:hint="eastAsia"/>
        </w:rPr>
        <w:t>；</w:t>
      </w:r>
      <w:r w:rsidR="00610180" w:rsidRPr="00A66D33">
        <w:rPr>
          <w:rFonts w:hint="eastAsia"/>
        </w:rPr>
        <w:t>違警罰法部分</w:t>
      </w:r>
      <w:r w:rsidR="00996A32" w:rsidRPr="00A66D33">
        <w:rPr>
          <w:rFonts w:hint="eastAsia"/>
        </w:rPr>
        <w:t>遲</w:t>
      </w:r>
      <w:r w:rsidR="00610180" w:rsidRPr="00A66D33">
        <w:rPr>
          <w:rFonts w:hint="eastAsia"/>
        </w:rPr>
        <w:t>至</w:t>
      </w:r>
      <w:r w:rsidR="004B019E" w:rsidRPr="00A66D33">
        <w:rPr>
          <w:rFonts w:hint="eastAsia"/>
        </w:rPr>
        <w:t>19年後於</w:t>
      </w:r>
      <w:r w:rsidR="00610180" w:rsidRPr="00A66D33">
        <w:rPr>
          <w:rFonts w:hint="eastAsia"/>
        </w:rPr>
        <w:t>69年11月7日釋字第166號解釋</w:t>
      </w:r>
      <w:r w:rsidR="00996A32" w:rsidRPr="00A66D33">
        <w:rPr>
          <w:rFonts w:hint="eastAsia"/>
        </w:rPr>
        <w:t>宣告</w:t>
      </w:r>
      <w:r w:rsidR="00610180" w:rsidRPr="00A66D33">
        <w:rPr>
          <w:rFonts w:hint="eastAsia"/>
        </w:rPr>
        <w:t>違憲</w:t>
      </w:r>
      <w:r w:rsidR="00610180" w:rsidRPr="00A66D33">
        <w:rPr>
          <w:rFonts w:hAnsi="標楷體" w:hint="eastAsia"/>
        </w:rPr>
        <w:t>（附件編號</w:t>
      </w:r>
      <w:r w:rsidR="00775293" w:rsidRPr="00A66D33">
        <w:rPr>
          <w:rFonts w:hAnsi="標楷體" w:hint="eastAsia"/>
        </w:rPr>
        <w:t>15</w:t>
      </w:r>
      <w:r w:rsidR="00610180" w:rsidRPr="00A66D33">
        <w:rPr>
          <w:rFonts w:hAnsi="標楷體" w:hint="eastAsia"/>
        </w:rPr>
        <w:t>）。</w:t>
      </w:r>
    </w:p>
    <w:p w:rsidR="00610180" w:rsidRPr="00A66D33" w:rsidRDefault="00001E81" w:rsidP="008A2489">
      <w:pPr>
        <w:pStyle w:val="5"/>
      </w:pPr>
      <w:r w:rsidRPr="00A66D33">
        <w:rPr>
          <w:rFonts w:hint="eastAsia"/>
        </w:rPr>
        <w:t>司法院</w:t>
      </w:r>
      <w:r w:rsidR="00CA2C14" w:rsidRPr="00A66D33">
        <w:rPr>
          <w:rFonts w:hint="eastAsia"/>
        </w:rPr>
        <w:t>翁岳生</w:t>
      </w:r>
      <w:r w:rsidRPr="00A66D33">
        <w:rPr>
          <w:rFonts w:hint="eastAsia"/>
        </w:rPr>
        <w:t>前</w:t>
      </w:r>
      <w:r w:rsidR="00CA2C14" w:rsidRPr="00A66D33">
        <w:rPr>
          <w:rFonts w:hint="eastAsia"/>
        </w:rPr>
        <w:t>院長於</w:t>
      </w:r>
      <w:r w:rsidR="008E7373" w:rsidRPr="00A66D33">
        <w:rPr>
          <w:rFonts w:hint="eastAsia"/>
        </w:rPr>
        <w:t>61年</w:t>
      </w:r>
      <w:r w:rsidR="001273BE" w:rsidRPr="00A66D33">
        <w:rPr>
          <w:rFonts w:hint="eastAsia"/>
        </w:rPr>
        <w:t>所發表之</w:t>
      </w:r>
      <w:r w:rsidR="001273BE" w:rsidRPr="00A66D33">
        <w:rPr>
          <w:rFonts w:hAnsi="標楷體" w:hint="eastAsia"/>
        </w:rPr>
        <w:t>「</w:t>
      </w:r>
      <w:r w:rsidR="008E7373" w:rsidRPr="00A66D33">
        <w:rPr>
          <w:rFonts w:hint="eastAsia"/>
        </w:rPr>
        <w:t>憲法之維護者-回顧與展望</w:t>
      </w:r>
      <w:r w:rsidR="001273BE" w:rsidRPr="00A66D33">
        <w:rPr>
          <w:rFonts w:hAnsi="標楷體" w:hint="eastAsia"/>
        </w:rPr>
        <w:t>」</w:t>
      </w:r>
      <w:r w:rsidR="008E7373" w:rsidRPr="00A66D33">
        <w:rPr>
          <w:rFonts w:hint="eastAsia"/>
        </w:rPr>
        <w:t>乙文稱</w:t>
      </w:r>
      <w:r w:rsidR="00714091" w:rsidRPr="00A66D33">
        <w:rPr>
          <w:rFonts w:hint="eastAsia"/>
        </w:rPr>
        <w:t>：</w:t>
      </w:r>
      <w:r w:rsidR="00CA2C14" w:rsidRPr="00A66D33">
        <w:rPr>
          <w:rFonts w:hint="eastAsia"/>
        </w:rPr>
        <w:t>「就司法院大法官會議釋憲功能之評估，對大法官會議所發揮之功能，拙作當時之評價謂</w:t>
      </w:r>
      <w:r w:rsidR="00714091" w:rsidRPr="00A66D33">
        <w:rPr>
          <w:rFonts w:hint="eastAsia"/>
        </w:rPr>
        <w:t>『似難認其已完全克盡維護憲法之職責』</w:t>
      </w:r>
      <w:r w:rsidR="00CA2C14" w:rsidRPr="00A66D33">
        <w:rPr>
          <w:rFonts w:hint="eastAsia"/>
        </w:rPr>
        <w:t>。並認為</w:t>
      </w:r>
      <w:r w:rsidR="00714091" w:rsidRPr="00A66D33">
        <w:rPr>
          <w:rFonts w:hint="eastAsia"/>
        </w:rPr>
        <w:t>『</w:t>
      </w:r>
      <w:r w:rsidR="00CA2C14" w:rsidRPr="00A66D33">
        <w:rPr>
          <w:rFonts w:hint="eastAsia"/>
        </w:rPr>
        <w:t>二十多年來，大法官會議對違憲行為，或不予解釋或遷就現實，始終不願將任何違憲行為明白認定其違憲</w:t>
      </w:r>
      <w:r w:rsidR="00CA2C14" w:rsidRPr="00A66D33">
        <w:rPr>
          <w:rFonts w:hint="eastAsia"/>
        </w:rPr>
        <w:lastRenderedPageBreak/>
        <w:t>或宣布其無效，大法官會議的這種態度，謀國持重有餘，對憲政體系之維護，健全違憲審查制度之確立，以及法治社會之建設，則尚感不足</w:t>
      </w:r>
      <w:r w:rsidR="00714091" w:rsidRPr="00A66D33">
        <w:rPr>
          <w:rFonts w:hint="eastAsia"/>
        </w:rPr>
        <w:t>』</w:t>
      </w:r>
      <w:r w:rsidR="00CA2C14" w:rsidRPr="00A66D33">
        <w:rPr>
          <w:rFonts w:hint="eastAsia"/>
        </w:rPr>
        <w:t>。</w:t>
      </w:r>
      <w:r w:rsidR="00CA2C14" w:rsidRPr="00A66D33">
        <w:rPr>
          <w:rFonts w:hint="eastAsia"/>
          <w:u w:val="single"/>
        </w:rPr>
        <w:t>當時所以有此評語，乃因違警罰法是否違憲案，監察院聲請解釋已十多年，對這種明顯違憲之案件，大法官會議竟經過十多年如此長久時</w:t>
      </w:r>
      <w:r w:rsidR="00A83065" w:rsidRPr="00A66D33">
        <w:rPr>
          <w:rFonts w:hint="eastAsia"/>
          <w:u w:val="single"/>
        </w:rPr>
        <w:t>間尚不予解釋，</w:t>
      </w:r>
      <w:r w:rsidR="00A83065" w:rsidRPr="00A66D33">
        <w:rPr>
          <w:rFonts w:hint="eastAsia"/>
        </w:rPr>
        <w:t>而過去其解釋之惟一一件違憲案件─</w:t>
      </w:r>
      <w:r w:rsidR="00CA2C14" w:rsidRPr="00A66D33">
        <w:rPr>
          <w:rFonts w:hint="eastAsia"/>
        </w:rPr>
        <w:t>釋字第</w:t>
      </w:r>
      <w:r w:rsidRPr="00A66D33">
        <w:rPr>
          <w:rFonts w:hint="eastAsia"/>
        </w:rPr>
        <w:t>86</w:t>
      </w:r>
      <w:r w:rsidR="00CA2C14" w:rsidRPr="00A66D33">
        <w:rPr>
          <w:rFonts w:hint="eastAsia"/>
        </w:rPr>
        <w:t>號法院改隸案卻被擱置不予執行。目睹釋憲功能如此不彰，所以將其責任歸咎於：</w:t>
      </w:r>
      <w:r w:rsidR="00714091" w:rsidRPr="00A66D33">
        <w:rPr>
          <w:rFonts w:hint="eastAsia"/>
        </w:rPr>
        <w:t>『</w:t>
      </w:r>
      <w:r w:rsidR="00CA2C14" w:rsidRPr="00A66D33">
        <w:rPr>
          <w:rFonts w:hint="eastAsia"/>
        </w:rPr>
        <w:t>傳統上從屬於行政權之司法者，卻不慣於行使如此重大之權限</w:t>
      </w:r>
      <w:r w:rsidR="00714091" w:rsidRPr="00A66D33">
        <w:rPr>
          <w:rFonts w:hint="eastAsia"/>
        </w:rPr>
        <w:t>』</w:t>
      </w:r>
      <w:r w:rsidR="00CA2C14" w:rsidRPr="00A66D33">
        <w:rPr>
          <w:rFonts w:hint="eastAsia"/>
        </w:rPr>
        <w:t>。其實，法院改隸案不被執行，若要完全歸責於大法官會議解釋文未明白宣布其違憲或無效，並不十分公道。事實上，拙文中亦已指出，對於解釋文之表達方式，除</w:t>
      </w:r>
      <w:r w:rsidR="00714091" w:rsidRPr="00A66D33">
        <w:rPr>
          <w:rFonts w:hint="eastAsia"/>
        </w:rPr>
        <w:t>『</w:t>
      </w:r>
      <w:r w:rsidR="00CA2C14" w:rsidRPr="00A66D33">
        <w:rPr>
          <w:rFonts w:hint="eastAsia"/>
        </w:rPr>
        <w:t>立法院似亦應負部分責任</w:t>
      </w:r>
      <w:r w:rsidR="00714091" w:rsidRPr="00A66D33">
        <w:rPr>
          <w:rFonts w:hint="eastAsia"/>
        </w:rPr>
        <w:t>』</w:t>
      </w:r>
      <w:r w:rsidR="00CA2C14" w:rsidRPr="00A66D33">
        <w:rPr>
          <w:rFonts w:hint="eastAsia"/>
        </w:rPr>
        <w:t>外，該案件所以被擱置而不執行，乃因少數政務官抱持本位主義立場，對法官人事權發生爭議之結果。該號解釋文之用語，雖值改進，但似非問題之關鍵。至於違警罰法是否違憲一案，大法官會議已於釋字第</w:t>
      </w:r>
      <w:r w:rsidRPr="00A66D33">
        <w:rPr>
          <w:rFonts w:hint="eastAsia"/>
        </w:rPr>
        <w:t>166</w:t>
      </w:r>
      <w:r w:rsidR="00CA2C14" w:rsidRPr="00A66D33">
        <w:rPr>
          <w:rFonts w:hint="eastAsia"/>
        </w:rPr>
        <w:t>號解釋，認其有關拘留與罰役由警察官署裁決之規定，不符憲法第</w:t>
      </w:r>
      <w:r w:rsidRPr="00A66D33">
        <w:rPr>
          <w:rFonts w:hint="eastAsia"/>
        </w:rPr>
        <w:t>8</w:t>
      </w:r>
      <w:r w:rsidR="00CA2C14" w:rsidRPr="00A66D33">
        <w:rPr>
          <w:rFonts w:hint="eastAsia"/>
        </w:rPr>
        <w:t>條第</w:t>
      </w:r>
      <w:r w:rsidRPr="00A66D33">
        <w:rPr>
          <w:rFonts w:hint="eastAsia"/>
        </w:rPr>
        <w:t>1</w:t>
      </w:r>
      <w:r w:rsidR="00CA2C14" w:rsidRPr="00A66D33">
        <w:rPr>
          <w:rFonts w:hint="eastAsia"/>
        </w:rPr>
        <w:t>項之本旨，應迅改由法院依法定程序為之。總之，大法官會議己於六十年代，清</w:t>
      </w:r>
      <w:r w:rsidR="00CA2C14" w:rsidRPr="00A66D33">
        <w:rPr>
          <w:rFonts w:hAnsi="標楷體" w:hint="eastAsia"/>
          <w:u w:val="single"/>
        </w:rPr>
        <w:t>結所有積案，逐漸擺脫</w:t>
      </w:r>
      <w:r w:rsidR="00714091" w:rsidRPr="00A66D33">
        <w:rPr>
          <w:rFonts w:hint="eastAsia"/>
          <w:u w:val="single"/>
        </w:rPr>
        <w:t>『</w:t>
      </w:r>
      <w:r w:rsidR="00CA2C14" w:rsidRPr="00A66D33">
        <w:rPr>
          <w:rFonts w:hAnsi="標楷體" w:hint="eastAsia"/>
          <w:u w:val="single"/>
        </w:rPr>
        <w:t>不予解釋</w:t>
      </w:r>
      <w:r w:rsidR="00714091" w:rsidRPr="00A66D33">
        <w:rPr>
          <w:rFonts w:hint="eastAsia"/>
          <w:u w:val="single"/>
        </w:rPr>
        <w:t>』</w:t>
      </w:r>
      <w:r w:rsidR="00CA2C14" w:rsidRPr="00A66D33">
        <w:rPr>
          <w:rFonts w:hAnsi="標楷體" w:hint="eastAsia"/>
          <w:u w:val="single"/>
        </w:rPr>
        <w:t>之陰影。</w:t>
      </w:r>
      <w:r w:rsidR="00CA2C14" w:rsidRPr="00A66D33">
        <w:rPr>
          <w:rFonts w:hAnsi="標楷體" w:hint="eastAsia"/>
        </w:rPr>
        <w:t>至於</w:t>
      </w:r>
      <w:r w:rsidR="00714091" w:rsidRPr="00A66D33">
        <w:rPr>
          <w:rFonts w:hint="eastAsia"/>
        </w:rPr>
        <w:t>『</w:t>
      </w:r>
      <w:r w:rsidR="00CA2C14" w:rsidRPr="00A66D33">
        <w:rPr>
          <w:rFonts w:hAnsi="標楷體" w:hint="eastAsia"/>
        </w:rPr>
        <w:t>不願將任何違憲行為明白認定其違憲或宣布其無效</w:t>
      </w:r>
      <w:r w:rsidR="00714091" w:rsidRPr="00A66D33">
        <w:rPr>
          <w:rFonts w:hint="eastAsia"/>
        </w:rPr>
        <w:t>』</w:t>
      </w:r>
      <w:r w:rsidR="00CA2C14" w:rsidRPr="00A66D33">
        <w:rPr>
          <w:rFonts w:hAnsi="標楷體" w:hint="eastAsia"/>
        </w:rPr>
        <w:t>之情形，亦已明顯改善</w:t>
      </w:r>
      <w:r w:rsidR="00EC055A" w:rsidRPr="00A66D33">
        <w:rPr>
          <w:rFonts w:hAnsi="標楷體" w:hint="eastAsia"/>
        </w:rPr>
        <w:t>」等語</w:t>
      </w:r>
      <w:r w:rsidR="008E7373" w:rsidRPr="00A66D33">
        <w:rPr>
          <w:rStyle w:val="aff"/>
          <w:rFonts w:hAnsi="標楷體"/>
        </w:rPr>
        <w:footnoteReference w:id="19"/>
      </w:r>
      <w:r w:rsidR="00BC4C64" w:rsidRPr="00A66D33">
        <w:rPr>
          <w:rFonts w:hAnsi="標楷體" w:hint="eastAsia"/>
        </w:rPr>
        <w:t>，前揭翁岳生</w:t>
      </w:r>
      <w:r w:rsidRPr="00A66D33">
        <w:rPr>
          <w:rFonts w:hAnsi="標楷體" w:hint="eastAsia"/>
        </w:rPr>
        <w:t>前</w:t>
      </w:r>
      <w:r w:rsidR="00BC4C64" w:rsidRPr="00A66D33">
        <w:rPr>
          <w:rFonts w:hAnsi="標楷體" w:hint="eastAsia"/>
        </w:rPr>
        <w:t>院長所稱，在今日本案而言，自別具</w:t>
      </w:r>
      <w:r w:rsidR="008A2489" w:rsidRPr="00A66D33">
        <w:rPr>
          <w:rFonts w:hAnsi="標楷體" w:hint="eastAsia"/>
        </w:rPr>
        <w:t>深刻之</w:t>
      </w:r>
      <w:r w:rsidR="001273BE" w:rsidRPr="00A66D33">
        <w:rPr>
          <w:rFonts w:hAnsi="標楷體" w:hint="eastAsia"/>
        </w:rPr>
        <w:t>憲政</w:t>
      </w:r>
      <w:r w:rsidR="00BC4C64" w:rsidRPr="00A66D33">
        <w:rPr>
          <w:rFonts w:hAnsi="標楷體" w:hint="eastAsia"/>
        </w:rPr>
        <w:t>意義</w:t>
      </w:r>
      <w:r w:rsidR="008E7373" w:rsidRPr="00A66D33">
        <w:rPr>
          <w:rFonts w:hAnsi="標楷體" w:hint="eastAsia"/>
        </w:rPr>
        <w:t>。</w:t>
      </w:r>
    </w:p>
    <w:p w:rsidR="00CA2C14" w:rsidRPr="00A66D33" w:rsidRDefault="008E7373" w:rsidP="008E7373">
      <w:pPr>
        <w:pStyle w:val="4"/>
      </w:pPr>
      <w:r w:rsidRPr="00A66D33">
        <w:rPr>
          <w:rFonts w:hint="eastAsia"/>
        </w:rPr>
        <w:lastRenderedPageBreak/>
        <w:t>解嚴後</w:t>
      </w:r>
    </w:p>
    <w:p w:rsidR="009673D2" w:rsidRPr="00A66D33" w:rsidRDefault="00882A78" w:rsidP="00882A78">
      <w:pPr>
        <w:pStyle w:val="5"/>
      </w:pPr>
      <w:r w:rsidRPr="00A66D33">
        <w:rPr>
          <w:rFonts w:hint="eastAsia"/>
        </w:rPr>
        <w:t>僑居中央民意代表，不適用罷免之規定，是否合憲：81年5月12日監察院第1屆第2016次會議決議聲請</w:t>
      </w:r>
      <w:r w:rsidRPr="00A66D33">
        <w:rPr>
          <w:rStyle w:val="aff"/>
        </w:rPr>
        <w:footnoteReference w:id="20"/>
      </w:r>
      <w:r w:rsidRPr="00A66D33">
        <w:rPr>
          <w:rFonts w:hint="eastAsia"/>
        </w:rPr>
        <w:t>，</w:t>
      </w:r>
      <w:r w:rsidRPr="00A66D33">
        <w:rPr>
          <w:rFonts w:hAnsi="標楷體" w:hint="eastAsia"/>
        </w:rPr>
        <w:t>82年12月30日司法院大法官做成釋字第331號解釋。（附件編號</w:t>
      </w:r>
      <w:r w:rsidR="00775293" w:rsidRPr="00A66D33">
        <w:rPr>
          <w:rFonts w:hAnsi="標楷體" w:hint="eastAsia"/>
        </w:rPr>
        <w:t>42</w:t>
      </w:r>
      <w:r w:rsidRPr="00A66D33">
        <w:rPr>
          <w:rFonts w:hAnsi="標楷體" w:hint="eastAsia"/>
        </w:rPr>
        <w:t>）</w:t>
      </w:r>
    </w:p>
    <w:p w:rsidR="008E7373" w:rsidRPr="00A66D33" w:rsidRDefault="009673D2" w:rsidP="00AE36CE">
      <w:pPr>
        <w:pStyle w:val="5"/>
      </w:pPr>
      <w:r w:rsidRPr="00A66D33">
        <w:rPr>
          <w:rFonts w:hint="eastAsia"/>
        </w:rPr>
        <w:t>就最高司法機關就審理事項得否發布規則？就司法行政監督得否發布命令？其界限為何？提出質疑：</w:t>
      </w:r>
      <w:r w:rsidR="00BC1290" w:rsidRPr="00A66D33">
        <w:rPr>
          <w:rFonts w:hint="eastAsia"/>
        </w:rPr>
        <w:t>監察院行使調查權</w:t>
      </w:r>
      <w:r w:rsidR="00BC1290" w:rsidRPr="00A66D33">
        <w:rPr>
          <w:rFonts w:hAnsi="標楷體" w:hint="eastAsia"/>
        </w:rPr>
        <w:t>，</w:t>
      </w:r>
      <w:r w:rsidR="00BC1290" w:rsidRPr="00A66D33">
        <w:rPr>
          <w:rFonts w:hint="eastAsia"/>
        </w:rPr>
        <w:t>調查報告於司法及獄政委會通過後</w:t>
      </w:r>
      <w:r w:rsidR="00BC1290" w:rsidRPr="00A66D33">
        <w:rPr>
          <w:rFonts w:hAnsi="標楷體" w:hint="eastAsia"/>
        </w:rPr>
        <w:t>，</w:t>
      </w:r>
      <w:r w:rsidR="0069513F" w:rsidRPr="00A66D33">
        <w:rPr>
          <w:rFonts w:hint="eastAsia"/>
        </w:rPr>
        <w:t>85年10月8日監察院第2屆第46次會議</w:t>
      </w:r>
      <w:r w:rsidR="00B0650F" w:rsidRPr="00A66D33">
        <w:rPr>
          <w:rFonts w:hint="eastAsia"/>
        </w:rPr>
        <w:t>決議聲請</w:t>
      </w:r>
      <w:r w:rsidR="00B0650F" w:rsidRPr="00A66D33">
        <w:rPr>
          <w:rStyle w:val="aff"/>
        </w:rPr>
        <w:footnoteReference w:id="21"/>
      </w:r>
      <w:r w:rsidR="00BC1290" w:rsidRPr="00A66D33">
        <w:rPr>
          <w:rFonts w:hint="eastAsia"/>
        </w:rPr>
        <w:t>大法官解釋</w:t>
      </w:r>
      <w:r w:rsidR="00B0650F" w:rsidRPr="00A66D33">
        <w:rPr>
          <w:rFonts w:hint="eastAsia"/>
        </w:rPr>
        <w:t>，司</w:t>
      </w:r>
      <w:r w:rsidR="00B0650F" w:rsidRPr="00A66D33">
        <w:rPr>
          <w:rFonts w:hint="eastAsia"/>
        </w:rPr>
        <w:lastRenderedPageBreak/>
        <w:t>法院大法官90年10月5日</w:t>
      </w:r>
      <w:r w:rsidR="00B0650F" w:rsidRPr="00A66D33">
        <w:rPr>
          <w:rFonts w:hAnsi="標楷體" w:hint="eastAsia"/>
        </w:rPr>
        <w:t>做成</w:t>
      </w:r>
      <w:r w:rsidR="00B0650F" w:rsidRPr="00A66D33">
        <w:rPr>
          <w:rFonts w:hint="eastAsia"/>
        </w:rPr>
        <w:t>釋字第530號解釋</w:t>
      </w:r>
      <w:r w:rsidR="00B0650F" w:rsidRPr="00A66D33">
        <w:rPr>
          <w:rFonts w:hAnsi="標楷體" w:hint="eastAsia"/>
        </w:rPr>
        <w:t>。（</w:t>
      </w:r>
      <w:r w:rsidR="00EE5F76" w:rsidRPr="00A66D33">
        <w:rPr>
          <w:rFonts w:hAnsi="標楷體" w:hint="eastAsia"/>
        </w:rPr>
        <w:t>附件編號</w:t>
      </w:r>
      <w:r w:rsidR="00775293" w:rsidRPr="00A66D33">
        <w:rPr>
          <w:rFonts w:hAnsi="標楷體" w:hint="eastAsia"/>
        </w:rPr>
        <w:t>44</w:t>
      </w:r>
      <w:r w:rsidR="00B0650F" w:rsidRPr="00A66D33">
        <w:rPr>
          <w:rFonts w:hAnsi="標楷體" w:hint="eastAsia"/>
        </w:rPr>
        <w:t>）</w:t>
      </w:r>
      <w:r w:rsidR="00EE5F76" w:rsidRPr="00A66D33">
        <w:rPr>
          <w:rFonts w:hAnsi="標楷體" w:hint="eastAsia"/>
        </w:rPr>
        <w:t>，本件調查報告係黃越欽大法官於擔任監察委員時所提出</w:t>
      </w:r>
      <w:r w:rsidR="00AE36CE" w:rsidRPr="00A66D33">
        <w:rPr>
          <w:rFonts w:hAnsi="標楷體" w:hint="eastAsia"/>
        </w:rPr>
        <w:t>，並參與釋字第530號解釋之審理，</w:t>
      </w:r>
      <w:r w:rsidR="006A5742" w:rsidRPr="00A66D33">
        <w:rPr>
          <w:rFonts w:hAnsi="標楷體" w:hint="eastAsia"/>
        </w:rPr>
        <w:t>並</w:t>
      </w:r>
      <w:r w:rsidR="00AE36CE" w:rsidRPr="00A66D33">
        <w:rPr>
          <w:rFonts w:hAnsi="標楷體" w:hint="eastAsia"/>
        </w:rPr>
        <w:t>提出不同意見書，該號解釋末段稱：「憲法第</w:t>
      </w:r>
      <w:r w:rsidR="00634538" w:rsidRPr="00A66D33">
        <w:rPr>
          <w:rFonts w:hAnsi="標楷體" w:hint="eastAsia"/>
        </w:rPr>
        <w:t>77</w:t>
      </w:r>
      <w:r w:rsidR="00AE36CE" w:rsidRPr="00A66D33">
        <w:rPr>
          <w:rFonts w:hAnsi="標楷體" w:hint="eastAsia"/>
        </w:rPr>
        <w:t>條規定：</w:t>
      </w:r>
      <w:r w:rsidR="00634538" w:rsidRPr="00A66D33">
        <w:rPr>
          <w:rFonts w:hAnsi="標楷體" w:hint="eastAsia"/>
        </w:rPr>
        <w:t>『</w:t>
      </w:r>
      <w:r w:rsidR="00AE36CE" w:rsidRPr="00A66D33">
        <w:rPr>
          <w:rFonts w:hAnsi="標楷體" w:hint="eastAsia"/>
        </w:rPr>
        <w:t>司法院為</w:t>
      </w:r>
      <w:r w:rsidR="00634538" w:rsidRPr="00A66D33">
        <w:rPr>
          <w:rFonts w:hAnsi="標楷體" w:hint="eastAsia"/>
        </w:rPr>
        <w:t>最高司法機關，掌理民事、刑事、行政訴訟之審判及公務員之懲戒。』</w:t>
      </w:r>
      <w:r w:rsidR="00AE36CE" w:rsidRPr="00A66D33">
        <w:rPr>
          <w:rFonts w:hAnsi="標楷體" w:hint="eastAsia"/>
        </w:rPr>
        <w:t>惟依現行司法院組織法</w:t>
      </w:r>
      <w:r w:rsidR="00AE36CE" w:rsidRPr="00A66D33">
        <w:rPr>
          <w:rFonts w:hAnsi="標楷體" w:hint="eastAsia"/>
        </w:rPr>
        <w:lastRenderedPageBreak/>
        <w:t>規定，司法院設置大法官</w:t>
      </w:r>
      <w:r w:rsidR="00634538" w:rsidRPr="00A66D33">
        <w:rPr>
          <w:rFonts w:hAnsi="標楷體" w:hint="eastAsia"/>
        </w:rPr>
        <w:t>17</w:t>
      </w:r>
      <w:r w:rsidR="00AE36CE" w:rsidRPr="00A66D33">
        <w:rPr>
          <w:rFonts w:hAnsi="標楷體" w:hint="eastAsia"/>
        </w:rPr>
        <w:t>人，審理解釋憲法及統一解釋法令案件，並組成憲法法庭，審理政黨違憲之解散事項；於司法院之下，設各級法院、行政法院及公務員懲戒委員會。是司法院除審理上開事項之大法官外，其本身僅具最高司法行政機關之地位，致使最高司法審判機關與最高司法行政機關分離。為期符合司法院為最高審判機關之制憲本旨，司法院組織法、法院組織法、行政法院組織法及公務員懲戒委員會組織法，應自本解釋公布之日起二年內檢討修正，以副憲政體制。」</w:t>
      </w:r>
    </w:p>
    <w:p w:rsidR="008A0DD5" w:rsidRPr="00A66D33" w:rsidRDefault="00213217" w:rsidP="00213217">
      <w:pPr>
        <w:pStyle w:val="4"/>
      </w:pPr>
      <w:r w:rsidRPr="00A66D33">
        <w:rPr>
          <w:rFonts w:hint="eastAsia"/>
          <w:b/>
        </w:rPr>
        <w:t>87年</w:t>
      </w:r>
      <w:r w:rsidR="008A0DD5" w:rsidRPr="00A66D33">
        <w:rPr>
          <w:rFonts w:hint="eastAsia"/>
          <w:b/>
        </w:rPr>
        <w:t>學者許宗力</w:t>
      </w:r>
      <w:r w:rsidRPr="00A66D33">
        <w:rPr>
          <w:rFonts w:hint="eastAsia"/>
          <w:b/>
        </w:rPr>
        <w:t>批評司法院大法官</w:t>
      </w:r>
      <w:r w:rsidR="008A0DD5" w:rsidRPr="00A66D33">
        <w:rPr>
          <w:rFonts w:hint="eastAsia"/>
          <w:b/>
        </w:rPr>
        <w:t>就</w:t>
      </w:r>
      <w:r w:rsidRPr="00A66D33">
        <w:rPr>
          <w:rFonts w:hint="eastAsia"/>
          <w:b/>
        </w:rPr>
        <w:t>立法委員</w:t>
      </w:r>
      <w:r w:rsidR="00721CD2" w:rsidRPr="00A66D33">
        <w:rPr>
          <w:rFonts w:hint="eastAsia"/>
          <w:b/>
        </w:rPr>
        <w:t>「</w:t>
      </w:r>
      <w:r w:rsidR="008A0DD5" w:rsidRPr="00A66D33">
        <w:rPr>
          <w:rFonts w:hint="eastAsia"/>
          <w:b/>
        </w:rPr>
        <w:t>行使職權</w:t>
      </w:r>
      <w:r w:rsidR="00721CD2" w:rsidRPr="00A66D33">
        <w:rPr>
          <w:rFonts w:hint="eastAsia"/>
          <w:b/>
        </w:rPr>
        <w:t>」</w:t>
      </w:r>
      <w:r w:rsidR="008A0DD5" w:rsidRPr="00A66D33">
        <w:rPr>
          <w:rFonts w:hint="eastAsia"/>
          <w:b/>
        </w:rPr>
        <w:t>部分</w:t>
      </w:r>
      <w:r w:rsidR="00721CD2" w:rsidRPr="00A66D33">
        <w:rPr>
          <w:rFonts w:hint="eastAsia"/>
          <w:b/>
        </w:rPr>
        <w:t>認應</w:t>
      </w:r>
      <w:r w:rsidR="00550A20" w:rsidRPr="00A66D33">
        <w:rPr>
          <w:rFonts w:hint="eastAsia"/>
          <w:b/>
        </w:rPr>
        <w:t>採</w:t>
      </w:r>
      <w:r w:rsidR="00721CD2" w:rsidRPr="00A66D33">
        <w:rPr>
          <w:rFonts w:hint="eastAsia"/>
          <w:b/>
        </w:rPr>
        <w:t>「從寬認定」</w:t>
      </w:r>
      <w:r w:rsidR="00721CD2" w:rsidRPr="00A66D33">
        <w:rPr>
          <w:rStyle w:val="aff"/>
          <w:rFonts w:hAnsi="標楷體"/>
          <w:b/>
        </w:rPr>
        <w:footnoteReference w:id="22"/>
      </w:r>
      <w:r w:rsidR="00721CD2" w:rsidRPr="00A66D33">
        <w:rPr>
          <w:rFonts w:hint="eastAsia"/>
          <w:b/>
        </w:rPr>
        <w:t>之看法，</w:t>
      </w:r>
      <w:r w:rsidR="00155B21" w:rsidRPr="00A66D33">
        <w:rPr>
          <w:rFonts w:hint="eastAsia"/>
        </w:rPr>
        <w:t>其稱</w:t>
      </w:r>
      <w:r w:rsidR="008A0DD5" w:rsidRPr="00A66D33">
        <w:rPr>
          <w:rFonts w:hint="eastAsia"/>
        </w:rPr>
        <w:t>：「</w:t>
      </w:r>
      <w:r w:rsidR="00155B21" w:rsidRPr="00A66D33">
        <w:rPr>
          <w:rFonts w:hint="eastAsia"/>
        </w:rPr>
        <w:t>檢視大法官審理案件法第</w:t>
      </w:r>
      <w:r w:rsidR="00634538" w:rsidRPr="00A66D33">
        <w:rPr>
          <w:rFonts w:hint="eastAsia"/>
        </w:rPr>
        <w:t>5</w:t>
      </w:r>
      <w:r w:rsidR="00155B21" w:rsidRPr="00A66D33">
        <w:rPr>
          <w:rFonts w:hint="eastAsia"/>
        </w:rPr>
        <w:t>條第</w:t>
      </w:r>
      <w:r w:rsidR="00634538" w:rsidRPr="00A66D33">
        <w:rPr>
          <w:rFonts w:hint="eastAsia"/>
        </w:rPr>
        <w:t>1</w:t>
      </w:r>
      <w:r w:rsidR="00155B21" w:rsidRPr="00A66D33">
        <w:rPr>
          <w:rFonts w:hint="eastAsia"/>
        </w:rPr>
        <w:t>項第</w:t>
      </w:r>
      <w:r w:rsidR="00634538" w:rsidRPr="00A66D33">
        <w:rPr>
          <w:rFonts w:hint="eastAsia"/>
        </w:rPr>
        <w:t>3</w:t>
      </w:r>
      <w:r w:rsidR="00155B21" w:rsidRPr="00A66D33">
        <w:rPr>
          <w:rFonts w:hint="eastAsia"/>
        </w:rPr>
        <w:t>款有關三分之一以上立法委員行使職權，</w:t>
      </w:r>
      <w:r w:rsidR="00634538" w:rsidRPr="00A66D33">
        <w:rPr>
          <w:rFonts w:hint="eastAsia"/>
        </w:rPr>
        <w:t>『</w:t>
      </w:r>
      <w:r w:rsidR="00155B21" w:rsidRPr="00A66D33">
        <w:rPr>
          <w:rFonts w:hint="eastAsia"/>
        </w:rPr>
        <w:t>適用法律發生有牴觸憲法之疑義</w:t>
      </w:r>
      <w:r w:rsidR="00634538" w:rsidRPr="00A66D33">
        <w:rPr>
          <w:rFonts w:hint="eastAsia"/>
        </w:rPr>
        <w:t>』</w:t>
      </w:r>
      <w:r w:rsidR="00155B21" w:rsidRPr="00A66D33">
        <w:rPr>
          <w:rFonts w:hint="eastAsia"/>
        </w:rPr>
        <w:t>的要件規定。依本文之見，不論是作為立法機關的立法院，抑或作為立法院此一合議制機關之構成員的立委個人或三分之一以上立委也好，其</w:t>
      </w:r>
      <w:r w:rsidR="00634538" w:rsidRPr="00A66D33">
        <w:rPr>
          <w:rFonts w:hint="eastAsia"/>
        </w:rPr>
        <w:t>『</w:t>
      </w:r>
      <w:r w:rsidR="00155B21" w:rsidRPr="00A66D33">
        <w:rPr>
          <w:rFonts w:hint="eastAsia"/>
        </w:rPr>
        <w:t>行使職權，適用法律</w:t>
      </w:r>
      <w:r w:rsidR="00634538" w:rsidRPr="00A66D33">
        <w:rPr>
          <w:rFonts w:hint="eastAsia"/>
        </w:rPr>
        <w:t>』</w:t>
      </w:r>
      <w:r w:rsidR="00155B21" w:rsidRPr="00A66D33">
        <w:rPr>
          <w:rFonts w:hint="eastAsia"/>
        </w:rPr>
        <w:t>的機會，委實說並不大，因其職權主要是在立法、修法，而不是像一般法院與行政機關一樣是在適用法律。迄目前為止，由三分之一以上立委所提法規違憲審查的釋憲案，大部分是審查法律案、預算案或審查法規命令時，懷疑現行法違憲所提起，但這畢竟是行使立法權時，發現法律違憲，而不是適用法律時發現法律違憲。也因此可以發現絕大部分這類釋憲聲請案，聲請之立委所據理由，若不是取巧地泛指依大法官審理案件法第</w:t>
      </w:r>
      <w:r w:rsidR="00634538" w:rsidRPr="00A66D33">
        <w:rPr>
          <w:rFonts w:hint="eastAsia"/>
        </w:rPr>
        <w:t>5</w:t>
      </w:r>
      <w:r w:rsidR="00155B21" w:rsidRPr="00A66D33">
        <w:rPr>
          <w:rFonts w:hint="eastAsia"/>
        </w:rPr>
        <w:lastRenderedPageBreak/>
        <w:t>條第</w:t>
      </w:r>
      <w:r w:rsidR="00634538" w:rsidRPr="00A66D33">
        <w:rPr>
          <w:rFonts w:hint="eastAsia"/>
        </w:rPr>
        <w:t>1</w:t>
      </w:r>
      <w:r w:rsidR="00155B21" w:rsidRPr="00A66D33">
        <w:rPr>
          <w:rFonts w:hint="eastAsia"/>
        </w:rPr>
        <w:t>項第</w:t>
      </w:r>
      <w:r w:rsidR="00634538" w:rsidRPr="00A66D33">
        <w:rPr>
          <w:rFonts w:hint="eastAsia"/>
        </w:rPr>
        <w:t>3</w:t>
      </w:r>
      <w:r w:rsidR="00155B21" w:rsidRPr="00A66D33">
        <w:rPr>
          <w:rFonts w:hint="eastAsia"/>
        </w:rPr>
        <w:t>款聲請，而不區分是適用憲法發生疑義，或適用法律發生有牴觸憲法疑義，就是主張行使立法或預算等職權時，適用憲法發生疑義，而不是適用法律發生有牴觸憲法之疑義。然事實上，這兩種情形，聲請人的認知也好，大法官的認知也好，都不認為這是屬於單純的憲法疑義的解釋，</w:t>
      </w:r>
      <w:r w:rsidR="00155B21" w:rsidRPr="00A66D33">
        <w:rPr>
          <w:rFonts w:hint="eastAsia"/>
          <w:b/>
        </w:rPr>
        <w:t>而是法律違憲的審查，且大法官一旦受理也的確都作成法律違憲或不違憲的實體解釋，可見以適用憲法發生疑義為由聲請釋憲，免不了有</w:t>
      </w:r>
      <w:r w:rsidR="00634538" w:rsidRPr="00A66D33">
        <w:rPr>
          <w:rFonts w:hint="eastAsia"/>
        </w:rPr>
        <w:t>『</w:t>
      </w:r>
      <w:r w:rsidR="00634538" w:rsidRPr="00A66D33">
        <w:rPr>
          <w:rFonts w:hint="eastAsia"/>
          <w:b/>
        </w:rPr>
        <w:t>掛羊頭賣狗肉</w:t>
      </w:r>
      <w:r w:rsidR="00634538" w:rsidRPr="00A66D33">
        <w:rPr>
          <w:rFonts w:hint="eastAsia"/>
        </w:rPr>
        <w:t>』</w:t>
      </w:r>
      <w:r w:rsidR="00155B21" w:rsidRPr="00A66D33">
        <w:rPr>
          <w:rFonts w:hint="eastAsia"/>
          <w:b/>
        </w:rPr>
        <w:t>之嫌。</w:t>
      </w:r>
      <w:r w:rsidR="00155B21" w:rsidRPr="00A66D33">
        <w:rPr>
          <w:rFonts w:hint="eastAsia"/>
        </w:rPr>
        <w:t>其次再檢視有關三分之一以上立法委員</w:t>
      </w:r>
      <w:r w:rsidR="00634538" w:rsidRPr="00A66D33">
        <w:rPr>
          <w:rFonts w:hint="eastAsia"/>
        </w:rPr>
        <w:t>『</w:t>
      </w:r>
      <w:r w:rsidR="00155B21" w:rsidRPr="00A66D33">
        <w:rPr>
          <w:rFonts w:hint="eastAsia"/>
        </w:rPr>
        <w:t>行使職權</w:t>
      </w:r>
      <w:r w:rsidR="00634538" w:rsidRPr="00A66D33">
        <w:rPr>
          <w:rFonts w:hint="eastAsia"/>
        </w:rPr>
        <w:t>』</w:t>
      </w:r>
      <w:r w:rsidR="00155B21" w:rsidRPr="00A66D33">
        <w:rPr>
          <w:rFonts w:hint="eastAsia"/>
        </w:rPr>
        <w:t>，適用法律發生疑義之要件。觀諸許多被大法官以程序不合法為由而拒絕受理的立委聲請釋憲案，</w:t>
      </w:r>
      <w:r w:rsidR="00155B21" w:rsidRPr="00A66D33">
        <w:rPr>
          <w:rFonts w:hint="eastAsia"/>
          <w:b/>
        </w:rPr>
        <w:t>似乎可發現聲請釋憲的程序合法與否，大法官視為關鍵的，並不是立委究竟係在適用憲法或適用法律發生有牴觸憲法之疑義，</w:t>
      </w:r>
      <w:r w:rsidR="00155B21" w:rsidRPr="00A66D33">
        <w:rPr>
          <w:rFonts w:hint="eastAsia"/>
        </w:rPr>
        <w:t>而是聲請案的提出是否與立委</w:t>
      </w:r>
      <w:r w:rsidR="00634538" w:rsidRPr="00A66D33">
        <w:rPr>
          <w:rFonts w:hint="eastAsia"/>
        </w:rPr>
        <w:t>『</w:t>
      </w:r>
      <w:r w:rsidR="00155B21" w:rsidRPr="00A66D33">
        <w:rPr>
          <w:rFonts w:hint="eastAsia"/>
        </w:rPr>
        <w:t>行使職權</w:t>
      </w:r>
      <w:r w:rsidR="00634538" w:rsidRPr="00A66D33">
        <w:rPr>
          <w:rFonts w:hint="eastAsia"/>
        </w:rPr>
        <w:t>』</w:t>
      </w:r>
      <w:r w:rsidR="00155B21" w:rsidRPr="00A66D33">
        <w:rPr>
          <w:rFonts w:hint="eastAsia"/>
        </w:rPr>
        <w:t>有關。如許多聲請案，倘未具體指明是行使何項立法委員職權，大法官均會發函通知補正。但立委倘若答覆是接獲人民陳情或請願，認某法律有違憲疑義而提出聲請案，大法官又認為與法定要件不合而拒絕受理，似乎大法官認為接受陳情、請願不屬立委職權。又如果立委懷疑現行法違憲，</w:t>
      </w:r>
      <w:r w:rsidR="00634538" w:rsidRPr="00A66D33">
        <w:rPr>
          <w:rFonts w:hint="eastAsia"/>
        </w:rPr>
        <w:t>『</w:t>
      </w:r>
      <w:r w:rsidR="00155B21" w:rsidRPr="00A66D33">
        <w:rPr>
          <w:rFonts w:hint="eastAsia"/>
        </w:rPr>
        <w:t>很老實地</w:t>
      </w:r>
      <w:r w:rsidR="00634538" w:rsidRPr="00A66D33">
        <w:rPr>
          <w:rFonts w:hint="eastAsia"/>
        </w:rPr>
        <w:t>』</w:t>
      </w:r>
      <w:r w:rsidR="00155B21" w:rsidRPr="00A66D33">
        <w:rPr>
          <w:rFonts w:hint="eastAsia"/>
        </w:rPr>
        <w:t>指陳，聲請釋憲的目的係請大法官判斷現行法是否違憲，以作為未來是否提法律修正案之參考時，大法官也認為與程序要件不符。似乎大法官認為立委對是否提法律修正案所作的考慮或相關先行動作，亦與立委行使職權無關。更令人意外的是，當立委指明進行預算審查時，發現某法令違憲而聲請解釋，也曾被大法官以程序不合法為由駁回。</w:t>
      </w:r>
      <w:r w:rsidR="00155B21" w:rsidRPr="00A66D33">
        <w:rPr>
          <w:rFonts w:hint="eastAsia"/>
          <w:b/>
        </w:rPr>
        <w:t>其實，接受人民陳</w:t>
      </w:r>
      <w:r w:rsidR="00155B21" w:rsidRPr="00A66D33">
        <w:rPr>
          <w:rFonts w:hint="eastAsia"/>
          <w:b/>
        </w:rPr>
        <w:lastRenderedPageBreak/>
        <w:t>請、請願，怎能說與立委行使職權無關?</w:t>
      </w:r>
      <w:r w:rsidR="00155B21" w:rsidRPr="00A66D33">
        <w:rPr>
          <w:rFonts w:hint="eastAsia"/>
        </w:rPr>
        <w:t>又大法官既然能在釋字第</w:t>
      </w:r>
      <w:r w:rsidR="00634538" w:rsidRPr="00A66D33">
        <w:rPr>
          <w:rFonts w:hint="eastAsia"/>
        </w:rPr>
        <w:t>435</w:t>
      </w:r>
      <w:r w:rsidR="00155B21" w:rsidRPr="00A66D33">
        <w:rPr>
          <w:rFonts w:hint="eastAsia"/>
        </w:rPr>
        <w:t>號解釋對言論免責權範圍作最大程度之界定，將黨團協商、公聽會發言亦認定屬與立委發言、提案、表決直接相關之附隨行為，則對立委提案前的相關先行動作，又何不能從寬認定屬立委行使職權的一環?此外，立委審查預算時發現法令違憲而提出的聲請釋憲案，被大法官受理的案件亦所在多有，如釋字第</w:t>
      </w:r>
      <w:r w:rsidR="00634538" w:rsidRPr="00A66D33">
        <w:rPr>
          <w:rFonts w:hint="eastAsia"/>
        </w:rPr>
        <w:t>282</w:t>
      </w:r>
      <w:r w:rsidR="00155B21" w:rsidRPr="00A66D33">
        <w:rPr>
          <w:rFonts w:hint="eastAsia"/>
        </w:rPr>
        <w:t>、</w:t>
      </w:r>
      <w:r w:rsidR="00634538" w:rsidRPr="00A66D33">
        <w:rPr>
          <w:rFonts w:hint="eastAsia"/>
        </w:rPr>
        <w:t>421</w:t>
      </w:r>
      <w:r w:rsidR="00155B21" w:rsidRPr="00A66D33">
        <w:rPr>
          <w:rFonts w:hint="eastAsia"/>
        </w:rPr>
        <w:t>與</w:t>
      </w:r>
      <w:r w:rsidR="00634538" w:rsidRPr="00A66D33">
        <w:rPr>
          <w:rFonts w:hint="eastAsia"/>
        </w:rPr>
        <w:t>426</w:t>
      </w:r>
      <w:r w:rsidR="00155B21" w:rsidRPr="00A66D33">
        <w:rPr>
          <w:rFonts w:hint="eastAsia"/>
        </w:rPr>
        <w:t>等號解釋都是，則何以有些情形又拒絕受理?凡此，均足證大法官決定受理與否，其判斷若不是太過自由，標準前後不一致，就是對</w:t>
      </w:r>
      <w:r w:rsidR="00634538" w:rsidRPr="00A66D33">
        <w:rPr>
          <w:rFonts w:hint="eastAsia"/>
        </w:rPr>
        <w:t>『</w:t>
      </w:r>
      <w:r w:rsidR="00155B21" w:rsidRPr="00A66D33">
        <w:rPr>
          <w:rFonts w:hint="eastAsia"/>
        </w:rPr>
        <w:t>行使職權</w:t>
      </w:r>
      <w:r w:rsidR="00634538" w:rsidRPr="00A66D33">
        <w:rPr>
          <w:rFonts w:hint="eastAsia"/>
        </w:rPr>
        <w:t>』</w:t>
      </w:r>
      <w:r w:rsidR="00155B21" w:rsidRPr="00A66D33">
        <w:rPr>
          <w:rFonts w:hint="eastAsia"/>
        </w:rPr>
        <w:t>一詞的認定，太過於狹隘。</w:t>
      </w:r>
      <w:r w:rsidR="00155B21" w:rsidRPr="00A66D33">
        <w:rPr>
          <w:rFonts w:hint="eastAsia"/>
          <w:b/>
        </w:rPr>
        <w:t>故就立委批評大法官審理案件法中有關立委</w:t>
      </w:r>
      <w:r w:rsidR="00634538" w:rsidRPr="00A66D33">
        <w:rPr>
          <w:rFonts w:hint="eastAsia"/>
          <w:b/>
        </w:rPr>
        <w:t>『</w:t>
      </w:r>
      <w:r w:rsidR="00155B21" w:rsidRPr="00A66D33">
        <w:rPr>
          <w:rFonts w:hint="eastAsia"/>
          <w:b/>
        </w:rPr>
        <w:t>就其行使職權，適用憲法發生疑義，或適用法律</w:t>
      </w:r>
      <w:r w:rsidR="00634538" w:rsidRPr="00A66D33">
        <w:rPr>
          <w:rFonts w:hint="eastAsia"/>
          <w:b/>
        </w:rPr>
        <w:t>』</w:t>
      </w:r>
      <w:r w:rsidR="00155B21" w:rsidRPr="00A66D33">
        <w:rPr>
          <w:rFonts w:hint="eastAsia"/>
          <w:b/>
        </w:rPr>
        <w:t>語意模糊，界定不明，導致司法院大法官濫用此款條文，拒絕立委依法所提之釋憲案，其批評亦非全無道理。</w:t>
      </w:r>
      <w:r w:rsidR="00461662" w:rsidRPr="00A66D33">
        <w:t>……</w:t>
      </w:r>
      <w:r w:rsidR="00155B21" w:rsidRPr="00A66D33">
        <w:rPr>
          <w:rFonts w:hint="eastAsia"/>
        </w:rPr>
        <w:t>本文以為，如果當真要師法德國，將釋憲聲請資格放寬到三分之一以上立委，准許該一定數目之立委可以提法令違憲審查的釋憲案，就應放寬到底，</w:t>
      </w:r>
      <w:r w:rsidR="00155B21" w:rsidRPr="00A66D33">
        <w:rPr>
          <w:rFonts w:hint="eastAsia"/>
          <w:b/>
        </w:rPr>
        <w:t>像德國法規定般，只要三分之一以上國會議員對法律是否違憲產生懷疑，或意見不一致時，即准予聲請釋憲，而無須以國會議員行使職權，適用法律懷疑違憲為前提。何況以適用法律懷疑違憲作為聲請釋憲的前提要件，嚴格言之亦與剝奪立委的釋憲聲請權幾乎沒有什麼兩樣。</w:t>
      </w:r>
      <w:r w:rsidR="00155B21" w:rsidRPr="00A66D33">
        <w:rPr>
          <w:rFonts w:hint="eastAsia"/>
        </w:rPr>
        <w:t>因此目前立法院有蔡煌</w:t>
      </w:r>
      <w:r w:rsidR="00EC055A" w:rsidRPr="00A66D33">
        <w:rPr>
          <w:rFonts w:hint="eastAsia"/>
        </w:rPr>
        <w:t>瑯</w:t>
      </w:r>
      <w:r w:rsidR="00155B21" w:rsidRPr="00A66D33">
        <w:rPr>
          <w:rFonts w:hint="eastAsia"/>
        </w:rPr>
        <w:t>、陳其邁等</w:t>
      </w:r>
      <w:r w:rsidR="00634538" w:rsidRPr="00A66D33">
        <w:rPr>
          <w:rFonts w:hint="eastAsia"/>
        </w:rPr>
        <w:t>17</w:t>
      </w:r>
      <w:r w:rsidR="00155B21" w:rsidRPr="00A66D33">
        <w:rPr>
          <w:rFonts w:hint="eastAsia"/>
        </w:rPr>
        <w:t>位立委提出大法官審理案件法第</w:t>
      </w:r>
      <w:r w:rsidR="00634538" w:rsidRPr="00A66D33">
        <w:rPr>
          <w:rFonts w:hint="eastAsia"/>
        </w:rPr>
        <w:t>5</w:t>
      </w:r>
      <w:r w:rsidR="00155B21" w:rsidRPr="00A66D33">
        <w:rPr>
          <w:rFonts w:hint="eastAsia"/>
        </w:rPr>
        <w:t>條第</w:t>
      </w:r>
      <w:r w:rsidR="00634538" w:rsidRPr="00A66D33">
        <w:rPr>
          <w:rFonts w:hint="eastAsia"/>
        </w:rPr>
        <w:t>1</w:t>
      </w:r>
      <w:r w:rsidR="00155B21" w:rsidRPr="00A66D33">
        <w:rPr>
          <w:rFonts w:hint="eastAsia"/>
        </w:rPr>
        <w:t>項第</w:t>
      </w:r>
      <w:r w:rsidR="00634538" w:rsidRPr="00A66D33">
        <w:rPr>
          <w:rFonts w:hint="eastAsia"/>
        </w:rPr>
        <w:t>3</w:t>
      </w:r>
      <w:r w:rsidR="00155B21" w:rsidRPr="00A66D33">
        <w:rPr>
          <w:rFonts w:hint="eastAsia"/>
        </w:rPr>
        <w:t>款的修正案，建議將該款修改為</w:t>
      </w:r>
      <w:r w:rsidR="00634538" w:rsidRPr="00A66D33">
        <w:rPr>
          <w:rFonts w:hint="eastAsia"/>
        </w:rPr>
        <w:t>『</w:t>
      </w:r>
      <w:r w:rsidR="00155B21" w:rsidRPr="00A66D33">
        <w:rPr>
          <w:rFonts w:hint="eastAsia"/>
        </w:rPr>
        <w:t>依立法委員現有總額三分之一以上之聲請，就我國法令規章發生有牴觸憲法之疑義者</w:t>
      </w:r>
      <w:r w:rsidR="00634538" w:rsidRPr="00A66D33">
        <w:rPr>
          <w:rFonts w:hint="eastAsia"/>
        </w:rPr>
        <w:t>』</w:t>
      </w:r>
      <w:r w:rsidR="00155B21" w:rsidRPr="00A66D33">
        <w:rPr>
          <w:rFonts w:hint="eastAsia"/>
        </w:rPr>
        <w:t>，本文基本上持支持態度。」等</w:t>
      </w:r>
      <w:r w:rsidR="00155B21" w:rsidRPr="00A66D33">
        <w:rPr>
          <w:rFonts w:hint="eastAsia"/>
        </w:rPr>
        <w:lastRenderedPageBreak/>
        <w:t>語</w:t>
      </w:r>
      <w:r w:rsidR="00155B21" w:rsidRPr="00A66D33">
        <w:rPr>
          <w:rStyle w:val="aff"/>
          <w:rFonts w:hAnsi="標楷體"/>
        </w:rPr>
        <w:footnoteReference w:id="23"/>
      </w:r>
      <w:r w:rsidR="008A2489" w:rsidRPr="00A66D33">
        <w:rPr>
          <w:rFonts w:hint="eastAsia"/>
        </w:rPr>
        <w:t>；學者陳愛娥亦類似學者許宗力之見解其稱：「李建良教授認為，監察院在第一份聲請書中雖謂</w:t>
      </w:r>
      <w:r w:rsidR="00714091" w:rsidRPr="00A66D33">
        <w:rPr>
          <w:rFonts w:hint="eastAsia"/>
        </w:rPr>
        <w:t>『</w:t>
      </w:r>
      <w:r w:rsidR="008A2489" w:rsidRPr="00A66D33">
        <w:rPr>
          <w:rFonts w:hint="eastAsia"/>
        </w:rPr>
        <w:t>其（按指：監察院）適用法律與命令發生有牴觸憲法之疑義</w:t>
      </w:r>
      <w:r w:rsidR="00714091" w:rsidRPr="00A66D33">
        <w:rPr>
          <w:rFonts w:hint="eastAsia"/>
        </w:rPr>
        <w:t>』</w:t>
      </w:r>
      <w:r w:rsidR="008A2489" w:rsidRPr="00A66D33">
        <w:rPr>
          <w:rFonts w:hint="eastAsia"/>
        </w:rPr>
        <w:t>，惟因監察院並未適用系爭命令，故非屬</w:t>
      </w:r>
      <w:r w:rsidR="00714091" w:rsidRPr="00A66D33">
        <w:rPr>
          <w:rFonts w:hint="eastAsia"/>
        </w:rPr>
        <w:t>『</w:t>
      </w:r>
      <w:r w:rsidR="008A2489" w:rsidRPr="00A66D33">
        <w:rPr>
          <w:rFonts w:hint="eastAsia"/>
        </w:rPr>
        <w:t>行使職權……適用法律與命令發生有牴觸憲法之疑義</w:t>
      </w:r>
      <w:r w:rsidR="00714091" w:rsidRPr="00A66D33">
        <w:rPr>
          <w:rFonts w:hint="eastAsia"/>
        </w:rPr>
        <w:t>』</w:t>
      </w:r>
      <w:r w:rsidR="008A2489" w:rsidRPr="00A66D33">
        <w:rPr>
          <w:rFonts w:hint="eastAsia"/>
        </w:rPr>
        <w:t>的情形，而係因「監察院若要進一步對司法院有所糾正，唯</w:t>
      </w:r>
      <w:r w:rsidR="00714091" w:rsidRPr="00A66D33">
        <w:rPr>
          <w:rFonts w:hint="eastAsia"/>
        </w:rPr>
        <w:t>有透過釋憲案的提起，而其理由應是『行使職權，適用憲法發生疑義』</w:t>
      </w:r>
      <w:r w:rsidR="008A2489" w:rsidRPr="00A66D33">
        <w:rPr>
          <w:rFonts w:hint="eastAsia"/>
        </w:rPr>
        <w:t>。令人不解的是：李教授在同一文章中既已指出，根據憲法第</w:t>
      </w:r>
      <w:r w:rsidR="00714091" w:rsidRPr="00A66D33">
        <w:rPr>
          <w:rFonts w:hint="eastAsia"/>
        </w:rPr>
        <w:t>97</w:t>
      </w:r>
      <w:r w:rsidR="008A2489" w:rsidRPr="00A66D33">
        <w:rPr>
          <w:rFonts w:hint="eastAsia"/>
        </w:rPr>
        <w:t>條的規定，</w:t>
      </w:r>
      <w:r w:rsidR="00714091" w:rsidRPr="00A66D33">
        <w:rPr>
          <w:rFonts w:hint="eastAsia"/>
        </w:rPr>
        <w:t>『</w:t>
      </w:r>
      <w:r w:rsidR="008A2489" w:rsidRPr="00A66D33">
        <w:rPr>
          <w:rFonts w:hint="eastAsia"/>
        </w:rPr>
        <w:t>監察院得提出糾正案的對象僅限於『行政院及其有關部會』，透過釋憲案的提起，何以就能</w:t>
      </w:r>
      <w:r w:rsidR="00714091" w:rsidRPr="00A66D33">
        <w:rPr>
          <w:rFonts w:hint="eastAsia"/>
        </w:rPr>
        <w:t>『</w:t>
      </w:r>
      <w:r w:rsidR="008A2489" w:rsidRPr="00A66D33">
        <w:rPr>
          <w:rFonts w:hint="eastAsia"/>
        </w:rPr>
        <w:t>進一步對司法院有所糾正</w:t>
      </w:r>
      <w:r w:rsidR="00714091" w:rsidRPr="00A66D33">
        <w:rPr>
          <w:rFonts w:hint="eastAsia"/>
        </w:rPr>
        <w:t>』</w:t>
      </w:r>
      <w:r w:rsidR="008A2489" w:rsidRPr="00A66D33">
        <w:rPr>
          <w:rFonts w:hint="eastAsia"/>
        </w:rPr>
        <w:t>？此外，李教授亦未指出，於此究竟</w:t>
      </w:r>
      <w:r w:rsidR="00714091" w:rsidRPr="00A66D33">
        <w:rPr>
          <w:rFonts w:hint="eastAsia"/>
        </w:rPr>
        <w:t>『</w:t>
      </w:r>
      <w:r w:rsidR="008A2489" w:rsidRPr="00A66D33">
        <w:rPr>
          <w:rFonts w:hint="eastAsia"/>
        </w:rPr>
        <w:t>適用</w:t>
      </w:r>
      <w:r w:rsidR="00714091" w:rsidRPr="00A66D33">
        <w:rPr>
          <w:rFonts w:hint="eastAsia"/>
        </w:rPr>
        <w:t>』</w:t>
      </w:r>
      <w:r w:rsidR="008A2489" w:rsidRPr="00A66D33">
        <w:rPr>
          <w:rFonts w:hint="eastAsia"/>
        </w:rPr>
        <w:t>何等</w:t>
      </w:r>
      <w:r w:rsidR="00714091" w:rsidRPr="00A66D33">
        <w:rPr>
          <w:rFonts w:hint="eastAsia"/>
        </w:rPr>
        <w:t>『</w:t>
      </w:r>
      <w:r w:rsidR="008A2489" w:rsidRPr="00A66D33">
        <w:rPr>
          <w:rFonts w:hint="eastAsia"/>
        </w:rPr>
        <w:t>憲法規定</w:t>
      </w:r>
      <w:r w:rsidR="00714091" w:rsidRPr="00A66D33">
        <w:rPr>
          <w:rFonts w:hint="eastAsia"/>
        </w:rPr>
        <w:t>』</w:t>
      </w:r>
      <w:r w:rsidR="008A2489" w:rsidRPr="00A66D33">
        <w:rPr>
          <w:rFonts w:hint="eastAsia"/>
        </w:rPr>
        <w:t>發生疑義？考量到</w:t>
      </w:r>
      <w:r w:rsidR="00714091" w:rsidRPr="00A66D33">
        <w:rPr>
          <w:rFonts w:hint="eastAsia"/>
        </w:rPr>
        <w:t>『</w:t>
      </w:r>
      <w:r w:rsidR="008A2489" w:rsidRPr="00A66D33">
        <w:rPr>
          <w:rFonts w:hint="eastAsia"/>
        </w:rPr>
        <w:t>單純憲法疑義解釋</w:t>
      </w:r>
      <w:r w:rsidR="00714091" w:rsidRPr="00A66D33">
        <w:rPr>
          <w:rFonts w:hint="eastAsia"/>
        </w:rPr>
        <w:t>』</w:t>
      </w:r>
      <w:r w:rsidR="008A2489" w:rsidRPr="00A66D33">
        <w:rPr>
          <w:rFonts w:hint="eastAsia"/>
        </w:rPr>
        <w:t>會產生的諸多弊端，對此似宜從嚴解釋；</w:t>
      </w:r>
      <w:r w:rsidR="008A2489" w:rsidRPr="00A66D33">
        <w:rPr>
          <w:rFonts w:hint="eastAsia"/>
          <w:b/>
          <w:u w:val="single"/>
        </w:rPr>
        <w:t>反之，對</w:t>
      </w:r>
      <w:r w:rsidR="00714091" w:rsidRPr="00A66D33">
        <w:rPr>
          <w:rFonts w:hint="eastAsia"/>
          <w:u w:val="single"/>
        </w:rPr>
        <w:t>『</w:t>
      </w:r>
      <w:r w:rsidR="008A2489" w:rsidRPr="00A66D33">
        <w:rPr>
          <w:rFonts w:hint="eastAsia"/>
          <w:b/>
          <w:u w:val="single"/>
        </w:rPr>
        <w:t>行使職權……適用法律與命令發生有牴觸憲法之疑義</w:t>
      </w:r>
      <w:r w:rsidR="00714091" w:rsidRPr="00A66D33">
        <w:rPr>
          <w:rFonts w:hint="eastAsia"/>
          <w:u w:val="single"/>
        </w:rPr>
        <w:t>』</w:t>
      </w:r>
      <w:r w:rsidR="008A2489" w:rsidRPr="00A66D33">
        <w:rPr>
          <w:rFonts w:hint="eastAsia"/>
          <w:b/>
          <w:u w:val="single"/>
        </w:rPr>
        <w:t>的聲請解釋，則宜從寬認定，俾大法官得以從事抽象的法規違憲審查。許宗力大法官檢討前此司法院大法官之解釋對</w:t>
      </w:r>
      <w:r w:rsidR="00714091" w:rsidRPr="00A66D33">
        <w:rPr>
          <w:rFonts w:hint="eastAsia"/>
          <w:u w:val="single"/>
        </w:rPr>
        <w:t>『</w:t>
      </w:r>
      <w:r w:rsidR="008A2489" w:rsidRPr="00A66D33">
        <w:rPr>
          <w:rFonts w:hint="eastAsia"/>
          <w:b/>
          <w:u w:val="single"/>
        </w:rPr>
        <w:t>適用</w:t>
      </w:r>
      <w:r w:rsidR="00714091" w:rsidRPr="00A66D33">
        <w:rPr>
          <w:rFonts w:hint="eastAsia"/>
          <w:u w:val="single"/>
        </w:rPr>
        <w:t>』</w:t>
      </w:r>
      <w:r w:rsidR="008A2489" w:rsidRPr="00A66D33">
        <w:rPr>
          <w:rFonts w:hint="eastAsia"/>
          <w:b/>
          <w:u w:val="single"/>
        </w:rPr>
        <w:t>與</w:t>
      </w:r>
      <w:r w:rsidR="00714091" w:rsidRPr="00A66D33">
        <w:rPr>
          <w:rFonts w:hint="eastAsia"/>
          <w:u w:val="single"/>
        </w:rPr>
        <w:t>『</w:t>
      </w:r>
      <w:r w:rsidR="008A2489" w:rsidRPr="00A66D33">
        <w:rPr>
          <w:rFonts w:hint="eastAsia"/>
          <w:b/>
          <w:u w:val="single"/>
        </w:rPr>
        <w:t>行使職權</w:t>
      </w:r>
      <w:r w:rsidR="00714091" w:rsidRPr="00A66D33">
        <w:rPr>
          <w:rFonts w:hint="eastAsia"/>
          <w:u w:val="single"/>
        </w:rPr>
        <w:t>』</w:t>
      </w:r>
      <w:r w:rsidR="008A2489" w:rsidRPr="00A66D33">
        <w:rPr>
          <w:rFonts w:hint="eastAsia"/>
          <w:b/>
          <w:u w:val="single"/>
        </w:rPr>
        <w:t>二概念的理解也發現，大法官是否以程序不合法為理由而拒絕受理釋憲聲請，關鍵不在於</w:t>
      </w:r>
      <w:r w:rsidR="00714091" w:rsidRPr="00A66D33">
        <w:rPr>
          <w:rFonts w:hint="eastAsia"/>
          <w:u w:val="single"/>
        </w:rPr>
        <w:t>『</w:t>
      </w:r>
      <w:r w:rsidR="008A2489" w:rsidRPr="00A66D33">
        <w:rPr>
          <w:rFonts w:hint="eastAsia"/>
          <w:b/>
          <w:u w:val="single"/>
        </w:rPr>
        <w:t>適用</w:t>
      </w:r>
      <w:r w:rsidR="00714091" w:rsidRPr="00A66D33">
        <w:rPr>
          <w:rFonts w:hint="eastAsia"/>
          <w:u w:val="single"/>
        </w:rPr>
        <w:t>』</w:t>
      </w:r>
      <w:r w:rsidR="008A2489" w:rsidRPr="00A66D33">
        <w:rPr>
          <w:rFonts w:hint="eastAsia"/>
          <w:b/>
          <w:u w:val="single"/>
        </w:rPr>
        <w:t>要件的欠缺，毋寧在於其是否與</w:t>
      </w:r>
      <w:r w:rsidR="00714091" w:rsidRPr="00A66D33">
        <w:rPr>
          <w:rFonts w:hint="eastAsia"/>
          <w:u w:val="single"/>
        </w:rPr>
        <w:t>『</w:t>
      </w:r>
      <w:r w:rsidR="008A2489" w:rsidRPr="00A66D33">
        <w:rPr>
          <w:rFonts w:hint="eastAsia"/>
          <w:b/>
          <w:u w:val="single"/>
        </w:rPr>
        <w:t>行使職權</w:t>
      </w:r>
      <w:r w:rsidR="00714091" w:rsidRPr="00A66D33">
        <w:rPr>
          <w:rFonts w:hint="eastAsia"/>
          <w:u w:val="single"/>
        </w:rPr>
        <w:t>』</w:t>
      </w:r>
      <w:r w:rsidR="008A2489" w:rsidRPr="00A66D33">
        <w:rPr>
          <w:rFonts w:hint="eastAsia"/>
          <w:b/>
          <w:u w:val="single"/>
        </w:rPr>
        <w:t>有關；在行使立法權</w:t>
      </w:r>
      <w:r w:rsidR="00714091" w:rsidRPr="00A66D33">
        <w:rPr>
          <w:rFonts w:hint="eastAsia"/>
          <w:u w:val="single"/>
        </w:rPr>
        <w:t>『</w:t>
      </w:r>
      <w:r w:rsidR="008A2489" w:rsidRPr="00A66D33">
        <w:rPr>
          <w:rFonts w:hint="eastAsia"/>
          <w:b/>
          <w:u w:val="single"/>
        </w:rPr>
        <w:t>發現法律違憲，而不是適用法律時發現法律違憲</w:t>
      </w:r>
      <w:r w:rsidR="00714091" w:rsidRPr="00A66D33">
        <w:rPr>
          <w:rFonts w:hint="eastAsia"/>
          <w:u w:val="single"/>
        </w:rPr>
        <w:t>』</w:t>
      </w:r>
      <w:r w:rsidR="008A2489" w:rsidRPr="00A66D33">
        <w:rPr>
          <w:rFonts w:hint="eastAsia"/>
          <w:b/>
          <w:u w:val="single"/>
        </w:rPr>
        <w:t>的情況下，亦多有受理釋憲的案例。如是，監察院行使其憲法賦予的調查權時發現，</w:t>
      </w:r>
      <w:r w:rsidR="00714091" w:rsidRPr="00A66D33">
        <w:rPr>
          <w:rFonts w:hint="eastAsia"/>
          <w:u w:val="single"/>
        </w:rPr>
        <w:t>『</w:t>
      </w:r>
      <w:r w:rsidR="008A2489" w:rsidRPr="00A66D33">
        <w:rPr>
          <w:rFonts w:hint="eastAsia"/>
          <w:b/>
          <w:u w:val="single"/>
        </w:rPr>
        <w:t>法律與命令發生有牴觸憲法之疑義者」，應得聲請大法官解</w:t>
      </w:r>
      <w:r w:rsidR="008A2489" w:rsidRPr="00A66D33">
        <w:rPr>
          <w:rFonts w:hint="eastAsia"/>
          <w:b/>
          <w:u w:val="single"/>
        </w:rPr>
        <w:lastRenderedPageBreak/>
        <w:t>釋。</w:t>
      </w:r>
      <w:r w:rsidR="00714091" w:rsidRPr="00A66D33">
        <w:rPr>
          <w:rFonts w:hint="eastAsia"/>
          <w:u w:val="single"/>
        </w:rPr>
        <w:t>』</w:t>
      </w:r>
      <w:r w:rsidR="00714091" w:rsidRPr="00A66D33">
        <w:rPr>
          <w:rFonts w:hint="eastAsia"/>
          <w:b/>
        </w:rPr>
        <w:t>」等語</w:t>
      </w:r>
      <w:r w:rsidR="00714091" w:rsidRPr="00A66D33">
        <w:rPr>
          <w:rStyle w:val="aff"/>
          <w:rFonts w:hAnsi="標楷體"/>
        </w:rPr>
        <w:footnoteReference w:id="24"/>
      </w:r>
      <w:r w:rsidR="008A2489" w:rsidRPr="00A66D33">
        <w:rPr>
          <w:rFonts w:hint="eastAsia"/>
        </w:rPr>
        <w:t>，均</w:t>
      </w:r>
      <w:r w:rsidR="00155B21" w:rsidRPr="00A66D33">
        <w:rPr>
          <w:rFonts w:hint="eastAsia"/>
        </w:rPr>
        <w:t>足參考，併予指明。</w:t>
      </w:r>
    </w:p>
    <w:p w:rsidR="004D1F90" w:rsidRPr="00A66D33" w:rsidRDefault="004D1F90" w:rsidP="004D1F90"/>
    <w:p w:rsidR="003A5927" w:rsidRPr="00A66D33" w:rsidRDefault="002964B6" w:rsidP="00305435">
      <w:pPr>
        <w:pStyle w:val="1"/>
        <w:ind w:left="709" w:hanging="709"/>
      </w:pPr>
      <w:r w:rsidRPr="00A66D33">
        <w:rPr>
          <w:rFonts w:hint="eastAsia"/>
        </w:rPr>
        <w:t>本件聲請受理與否對憲法權力分立之運作有何意涵？</w:t>
      </w:r>
    </w:p>
    <w:p w:rsidR="00793A6A" w:rsidRPr="00A66D33" w:rsidRDefault="00793A6A" w:rsidP="00793A6A">
      <w:pPr>
        <w:pStyle w:val="1"/>
        <w:numPr>
          <w:ilvl w:val="0"/>
          <w:numId w:val="0"/>
        </w:numPr>
      </w:pPr>
      <w:r w:rsidRPr="00A66D33">
        <w:rPr>
          <w:rFonts w:hint="eastAsia"/>
        </w:rPr>
        <w:t>監察院說明</w:t>
      </w:r>
      <w:r w:rsidRPr="00A66D33">
        <w:rPr>
          <w:rFonts w:hAnsi="標楷體" w:hint="eastAsia"/>
        </w:rPr>
        <w:t>：</w:t>
      </w:r>
    </w:p>
    <w:p w:rsidR="00FB7B88" w:rsidRPr="00A66D33" w:rsidRDefault="00BC1290" w:rsidP="00BC1290">
      <w:pPr>
        <w:pStyle w:val="2"/>
      </w:pPr>
      <w:r w:rsidRPr="00A66D33">
        <w:rPr>
          <w:rFonts w:hint="eastAsia"/>
          <w:b/>
        </w:rPr>
        <w:t>權力分立之內涵</w:t>
      </w:r>
      <w:r w:rsidR="00C25810" w:rsidRPr="00A66D33">
        <w:rPr>
          <w:rFonts w:hAnsi="標楷體" w:hint="eastAsia"/>
          <w:b/>
        </w:rPr>
        <w:t>，</w:t>
      </w:r>
      <w:r w:rsidR="00C25810" w:rsidRPr="00A66D33">
        <w:rPr>
          <w:rFonts w:hint="eastAsia"/>
          <w:b/>
        </w:rPr>
        <w:t>監察院認為</w:t>
      </w:r>
      <w:r w:rsidRPr="00A66D33">
        <w:rPr>
          <w:rFonts w:hint="eastAsia"/>
          <w:b/>
        </w:rPr>
        <w:t>在於</w:t>
      </w:r>
      <w:r w:rsidR="00C25810" w:rsidRPr="00A66D33">
        <w:rPr>
          <w:rFonts w:hAnsi="標楷體" w:hint="eastAsia"/>
          <w:b/>
        </w:rPr>
        <w:t>「</w:t>
      </w:r>
      <w:r w:rsidR="00C25810" w:rsidRPr="00A66D33">
        <w:rPr>
          <w:rFonts w:hint="eastAsia"/>
          <w:b/>
        </w:rPr>
        <w:t>憲法機關有無侵害其他機關之權力核心功能</w:t>
      </w:r>
      <w:r w:rsidR="00C25810" w:rsidRPr="00A66D33">
        <w:rPr>
          <w:rFonts w:hAnsi="標楷體" w:hint="eastAsia"/>
          <w:b/>
        </w:rPr>
        <w:t>」，</w:t>
      </w:r>
      <w:r w:rsidR="004325BA" w:rsidRPr="00A66D33">
        <w:rPr>
          <w:rFonts w:hAnsi="標楷體" w:hint="eastAsia"/>
          <w:b/>
        </w:rPr>
        <w:t>各機關暨所屬人員應</w:t>
      </w:r>
      <w:r w:rsidR="00C25810" w:rsidRPr="00A66D33">
        <w:rPr>
          <w:rFonts w:hAnsi="標楷體" w:hint="eastAsia"/>
          <w:b/>
        </w:rPr>
        <w:t>對憲法善盡忠誠義務</w:t>
      </w:r>
      <w:r w:rsidRPr="00A66D33">
        <w:rPr>
          <w:rFonts w:hAnsi="標楷體" w:hint="eastAsia"/>
        </w:rPr>
        <w:t>：</w:t>
      </w:r>
    </w:p>
    <w:p w:rsidR="00353D25" w:rsidRPr="00A66D33" w:rsidRDefault="00353D25" w:rsidP="006556B8">
      <w:pPr>
        <w:pStyle w:val="3"/>
      </w:pPr>
      <w:r w:rsidRPr="00A66D33">
        <w:rPr>
          <w:rFonts w:hint="eastAsia"/>
        </w:rPr>
        <w:t>德國權力分立理論</w:t>
      </w:r>
    </w:p>
    <w:p w:rsidR="00C25810" w:rsidRPr="00A66D33" w:rsidRDefault="00C25810" w:rsidP="00353D25">
      <w:pPr>
        <w:pStyle w:val="4"/>
      </w:pPr>
      <w:r w:rsidRPr="00A66D33">
        <w:rPr>
          <w:rFonts w:hint="eastAsia"/>
        </w:rPr>
        <w:t>權力核心領域理論</w:t>
      </w:r>
    </w:p>
    <w:p w:rsidR="006556B8" w:rsidRPr="00A66D33" w:rsidRDefault="00634538" w:rsidP="00C02B87">
      <w:pPr>
        <w:pStyle w:val="5"/>
      </w:pPr>
      <w:r w:rsidRPr="00A66D33">
        <w:rPr>
          <w:rFonts w:hint="eastAsia"/>
        </w:rPr>
        <w:t>西元</w:t>
      </w:r>
      <w:r w:rsidR="006556B8" w:rsidRPr="00A66D33">
        <w:rPr>
          <w:rFonts w:hint="eastAsia"/>
        </w:rPr>
        <w:t xml:space="preserve">1953年12月18日前之德國憲法判決，權力分立就作如下的定調：「權力分立是基本法的一個主要的組織原則。它的意義在於政治上的權力區分、三權的相互交錯與由此產生的對國家統治權力的抑制。但這個原則在任何國家都沒有被完完全全的實現過。毋寧，即令是承認權力分立原則的國家，在其憲法秩序裡頭，某程度的功能重疊(gewisse </w:t>
      </w:r>
      <w:r w:rsidR="006556B8" w:rsidRPr="00A66D33">
        <w:rPr>
          <w:rFonts w:hint="eastAsia"/>
        </w:rPr>
        <w:t>Ü</w:t>
      </w:r>
      <w:r w:rsidR="006556B8" w:rsidRPr="00A66D33">
        <w:rPr>
          <w:rFonts w:hint="eastAsia"/>
        </w:rPr>
        <w:t>berschneidungen der Funktionen)與一權對另一權的影響，其實都是相當普遍的。」</w:t>
      </w:r>
      <w:r w:rsidR="006556B8" w:rsidRPr="00A66D33">
        <w:rPr>
          <w:rStyle w:val="aff"/>
        </w:rPr>
        <w:footnoteReference w:id="25"/>
      </w:r>
      <w:r w:rsidR="006D612A" w:rsidRPr="00A66D33">
        <w:rPr>
          <w:rFonts w:hint="eastAsia"/>
        </w:rPr>
        <w:t>西元</w:t>
      </w:r>
      <w:r w:rsidR="006556B8" w:rsidRPr="00A66D33">
        <w:rPr>
          <w:rFonts w:hint="eastAsia"/>
        </w:rPr>
        <w:t>1959年4月24日的判決則進一步凸顯權力分立在權力抑制方面上的目的：「個人自由應予保障，為此，立法、行政與司法必須相互控制與限制」。爾後的判決也都陸續指出，從基本法的憲法架構所導出的，並不是絕對的權力區分，反而是相互的控制、牽制與抑制，只是這種權力的交疊不能侵</w:t>
      </w:r>
      <w:r w:rsidR="006556B8" w:rsidRPr="00A66D33">
        <w:rPr>
          <w:rFonts w:hint="eastAsia"/>
        </w:rPr>
        <w:lastRenderedPageBreak/>
        <w:t>犯其他權力的「核心領域」(Kernbereich)</w:t>
      </w:r>
      <w:r w:rsidR="006556B8" w:rsidRPr="00A66D33">
        <w:rPr>
          <w:rFonts w:hAnsi="標楷體" w:hint="eastAsia"/>
        </w:rPr>
        <w:t>，</w:t>
      </w:r>
      <w:r w:rsidR="006556B8" w:rsidRPr="00A66D33">
        <w:rPr>
          <w:rStyle w:val="aff"/>
        </w:rPr>
        <w:footnoteReference w:id="26"/>
      </w:r>
      <w:r w:rsidR="006556B8" w:rsidRPr="00A66D33">
        <w:rPr>
          <w:rFonts w:hint="eastAsia"/>
        </w:rPr>
        <w:t>各權「核心領域」的範圍，憲法法院在多次判決僅概括點出，除非憲法有明文，</w:t>
      </w:r>
      <w:r w:rsidR="006556B8" w:rsidRPr="00A66D33">
        <w:rPr>
          <w:rFonts w:hint="eastAsia"/>
          <w:b/>
        </w:rPr>
        <w:t>否則沒有一個權力擁有優先於其他權力的優越地位(</w:t>
      </w:r>
      <w:r w:rsidR="006556B8" w:rsidRPr="00A66D33">
        <w:rPr>
          <w:rFonts w:hint="eastAsia"/>
          <w:b/>
        </w:rPr>
        <w:t>Ü</w:t>
      </w:r>
      <w:r w:rsidR="006556B8" w:rsidRPr="00A66D33">
        <w:rPr>
          <w:rFonts w:hint="eastAsia"/>
          <w:b/>
        </w:rPr>
        <w:t>bergewicht) ，任何一個權力為履行其合憲任務所須之權限不能被剝奪，每一個權力的核心領域是不可變更的，</w:t>
      </w:r>
      <w:r w:rsidR="006556B8" w:rsidRPr="00A66D33">
        <w:rPr>
          <w:rFonts w:hint="eastAsia"/>
        </w:rPr>
        <w:t>所以，任何一個國家權力如果憲法所賦予的典型任務(typische Aufgabe) 被剝奪，均不被容許。每一個權力都有其各自獨立的權限，如果某一個權力擁有「無所不包的優越地位」(allumfassender Vorrang) ，就違反權力分立</w:t>
      </w:r>
      <w:r w:rsidR="006556B8" w:rsidRPr="00A66D33">
        <w:rPr>
          <w:rFonts w:hAnsi="標楷體" w:hint="eastAsia"/>
        </w:rPr>
        <w:t>。</w:t>
      </w:r>
    </w:p>
    <w:p w:rsidR="00C25810" w:rsidRPr="00A66D33" w:rsidRDefault="006556B8" w:rsidP="00353D25">
      <w:pPr>
        <w:pStyle w:val="5"/>
      </w:pPr>
      <w:r w:rsidRPr="00A66D33">
        <w:rPr>
          <w:rFonts w:hint="eastAsia"/>
        </w:rPr>
        <w:t>是則</w:t>
      </w:r>
      <w:r w:rsidRPr="00A66D33">
        <w:rPr>
          <w:rFonts w:hAnsi="標楷體" w:hint="eastAsia"/>
        </w:rPr>
        <w:t>，</w:t>
      </w:r>
      <w:r w:rsidR="00C25810" w:rsidRPr="00A66D33">
        <w:rPr>
          <w:rFonts w:hint="eastAsia"/>
        </w:rPr>
        <w:t>權力之間並無法絕對區分，是相互的控制、牽制與抑制，只是這種權力的交疊不能侵犯其他權力的「核心領域」。因此，如果要解決政治部門間的權限爭議，權力之「核心領域」究何所指即躍居為關鍵地位。除非憲法有明文規定，否則沒有一個權力擁有優先於其他權力之優越地位，任何一個國家權力如果憲法所賦予之典型任務被剝奪，抑或任一國家權力藉由侵奪其他憲法機關之權限以擴張自己之權力範圍，均不被容許。每一個國家權力都有其各自獨立之權限，如果某一個國家權力擁有無所不包之優越地位，就違反權力分立。</w:t>
      </w:r>
    </w:p>
    <w:p w:rsidR="00C25810" w:rsidRPr="00A66D33" w:rsidRDefault="00C25810" w:rsidP="00353D25">
      <w:pPr>
        <w:pStyle w:val="4"/>
      </w:pPr>
      <w:r w:rsidRPr="00A66D33">
        <w:rPr>
          <w:rFonts w:hint="eastAsia"/>
        </w:rPr>
        <w:t>功能最適理論</w:t>
      </w:r>
    </w:p>
    <w:p w:rsidR="00C25810" w:rsidRPr="00A66D33" w:rsidRDefault="006D612A" w:rsidP="009E773E">
      <w:pPr>
        <w:pStyle w:val="42"/>
        <w:ind w:left="1701" w:firstLine="680"/>
        <w:rPr>
          <w:rFonts w:hAnsi="標楷體"/>
        </w:rPr>
      </w:pPr>
      <w:r w:rsidRPr="00A66D33">
        <w:rPr>
          <w:rFonts w:hint="eastAsia"/>
        </w:rPr>
        <w:t>西元</w:t>
      </w:r>
      <w:r w:rsidR="006D2FFE" w:rsidRPr="00A66D33">
        <w:rPr>
          <w:rFonts w:hAnsi="標楷體" w:hint="eastAsia"/>
        </w:rPr>
        <w:t>1984年以後功能最適觀點的提出</w:t>
      </w:r>
      <w:r w:rsidR="006D2FFE" w:rsidRPr="00A66D33">
        <w:rPr>
          <w:rFonts w:hAnsi="標楷體" w:cs="Arial Unicode MS" w:hint="eastAsia"/>
        </w:rPr>
        <w:t>，因</w:t>
      </w:r>
      <w:r w:rsidR="006D2FFE" w:rsidRPr="00A66D33">
        <w:rPr>
          <w:rFonts w:hAnsi="標楷體" w:hint="eastAsia"/>
        </w:rPr>
        <w:t>權力分立原則萎縮成個別權力核心領域之保護，核心領域卻又形骸化，加上權力分立原則本身的空</w:t>
      </w:r>
      <w:r w:rsidR="006D2FFE" w:rsidRPr="00A66D33">
        <w:rPr>
          <w:rFonts w:hAnsi="標楷體" w:hint="eastAsia"/>
        </w:rPr>
        <w:lastRenderedPageBreak/>
        <w:t>洞與欠缺指標性，使得權力分立常常被批評為「枯化成木乃伊的憲法教條」(zur Mumie gedörrtes Dogma)。在此背景下，聯邦憲法法院終於在</w:t>
      </w:r>
      <w:r w:rsidRPr="00A66D33">
        <w:rPr>
          <w:rFonts w:hint="eastAsia"/>
        </w:rPr>
        <w:t>西元</w:t>
      </w:r>
      <w:r w:rsidR="006D2FFE" w:rsidRPr="00A66D33">
        <w:rPr>
          <w:rFonts w:hAnsi="標楷體" w:hint="eastAsia"/>
        </w:rPr>
        <w:t>1984年飛彈部署判決接受學說見解，提出功能最適機關結構的觀點，試圖克服權力分立原則規範性標準不足的缺失，俾在國家權力發生衝突場合，可以提供一套更具體、更具操作可能性的判準來。甚至據Schmidt-Aβamann觀察，從此聯邦憲法法院關於權力分立的見解進入一個新的里程碑。</w:t>
      </w:r>
      <w:r w:rsidR="00C25810" w:rsidRPr="00A66D33">
        <w:rPr>
          <w:rFonts w:hAnsi="標楷體" w:hint="eastAsia"/>
        </w:rPr>
        <w:t>認為權力分立之目的在於使國家決定達到盡可能正確之境地，主張國家事務應由在內部組織、組成、功能與議事決定方式等各方面均具備最佳條件之機關來擔當作成。與「權力核心領域理論」相同者乃是，功能最適理論亦認為即使行政須向國會負責，無論如何仍以有一定之行政自我負責之核心領域存在為前提，對於權力分立的理解，不再拘泥於傳統防止濫權、保障人權之觀點，而提出一個功能最適，擔保國家決定盡可能達到正確境地的新觀點，因此，重要事項不必然歸屬立法者決定，毋寧也有歸屬行政權決定之可能，至於究竟歸屬於立法或行政，端視該事項係由行政權或立法權決定何者較能達成盡可能正確之目標。</w:t>
      </w:r>
      <w:r w:rsidR="00A377D2" w:rsidRPr="00A66D33">
        <w:rPr>
          <w:rStyle w:val="aff"/>
          <w:rFonts w:hAnsi="標楷體"/>
        </w:rPr>
        <w:footnoteReference w:id="27"/>
      </w:r>
    </w:p>
    <w:p w:rsidR="00C25810" w:rsidRPr="00A66D33" w:rsidRDefault="00C25810" w:rsidP="009E773E">
      <w:pPr>
        <w:pStyle w:val="4"/>
        <w:rPr>
          <w:rFonts w:hAnsi="標楷體" w:cs="DFKaiShu-SB-Estd-BF"/>
          <w:kern w:val="0"/>
          <w:szCs w:val="32"/>
        </w:rPr>
      </w:pPr>
      <w:r w:rsidRPr="00A66D33">
        <w:rPr>
          <w:rFonts w:hAnsi="標楷體" w:cs="DFKaiShu-SB-Estd-BF" w:hint="eastAsia"/>
          <w:kern w:val="0"/>
          <w:szCs w:val="32"/>
        </w:rPr>
        <w:t>機關忠誠</w:t>
      </w:r>
      <w:r w:rsidRPr="00A66D33">
        <w:rPr>
          <w:rFonts w:hAnsi="標楷體" w:hint="eastAsia"/>
          <w:szCs w:val="32"/>
        </w:rPr>
        <w:t>理論</w:t>
      </w:r>
    </w:p>
    <w:p w:rsidR="006D2FFE" w:rsidRPr="00A66D33" w:rsidRDefault="00C25810" w:rsidP="009E773E">
      <w:pPr>
        <w:pStyle w:val="42"/>
        <w:ind w:left="1701" w:firstLine="680"/>
        <w:rPr>
          <w:rFonts w:hAnsi="標楷體" w:cs="DFKaiShu-SB-Estd-BF"/>
          <w:kern w:val="0"/>
          <w:szCs w:val="32"/>
        </w:rPr>
      </w:pPr>
      <w:r w:rsidRPr="00A66D33">
        <w:rPr>
          <w:rFonts w:hAnsi="標楷體" w:hint="eastAsia"/>
          <w:szCs w:val="32"/>
        </w:rPr>
        <w:t>憲法</w:t>
      </w:r>
      <w:r w:rsidRPr="00A66D33">
        <w:rPr>
          <w:rFonts w:hAnsi="標楷體" w:cs="DFKaiShu-SB-Estd-BF" w:hint="eastAsia"/>
          <w:kern w:val="0"/>
          <w:szCs w:val="32"/>
        </w:rPr>
        <w:t>機關忠誠指的是憲法機關彼此間所負之相互扶持、尊重與體諒的義務，</w:t>
      </w:r>
      <w:r w:rsidRPr="00A66D33">
        <w:rPr>
          <w:rFonts w:hAnsi="標楷體" w:cs="DFKaiShu-SB-Estd-BF" w:hint="eastAsia"/>
          <w:b/>
          <w:kern w:val="0"/>
          <w:szCs w:val="32"/>
        </w:rPr>
        <w:t>不得阻撓其他憲法機關行使職權，</w:t>
      </w:r>
      <w:r w:rsidRPr="00A66D33">
        <w:rPr>
          <w:rFonts w:hAnsi="標楷體" w:cs="DFKaiShu-SB-Estd-BF" w:hint="eastAsia"/>
          <w:kern w:val="0"/>
          <w:szCs w:val="32"/>
        </w:rPr>
        <w:t>也不得使其他憲法機關陷於癱瘓，其具有限制憲法機關權力濫用之功能。憲法</w:t>
      </w:r>
      <w:r w:rsidRPr="00A66D33">
        <w:rPr>
          <w:rFonts w:hAnsi="標楷體" w:cs="DFKaiShu-SB-Estd-BF" w:hint="eastAsia"/>
          <w:kern w:val="0"/>
          <w:szCs w:val="32"/>
        </w:rPr>
        <w:lastRenderedPageBreak/>
        <w:t>機關的協調是憲法機關獨立性的孿生物，要求各憲法機關在行使其憲法上之職權時均須秉持和諧合作精神，任何足以傷害其他憲法機關之尊嚴，也因而傷害憲法本身的行為，都應予以禁止。既然每一憲法機關均為憲法所創設，且因其共同協力合作，憲法才能一再獲得其政治內涵與生命力，則每一憲法機關，倘於行使憲法職權之際，未能給與其他憲法機關適度之尊重，而以言詞或行動加以貶抑，就與憲法所課予之憲法義務背道而馳。機關忠誠義務，可以使憲法機關應自覺於對憲法之整體義務，與其他憲法機關整合、協調相互合作，並不得阻撓其他憲法機關行使職權，或使其他憲法機關陷於癱瘓。</w:t>
      </w:r>
    </w:p>
    <w:p w:rsidR="00C25810" w:rsidRPr="00A66D33" w:rsidRDefault="006D2FFE" w:rsidP="009E773E">
      <w:pPr>
        <w:pStyle w:val="42"/>
        <w:ind w:left="1701" w:firstLine="680"/>
        <w:rPr>
          <w:rFonts w:hAnsi="標楷體" w:cs="DFKaiShu-SB-Estd-BF"/>
          <w:b/>
          <w:kern w:val="0"/>
          <w:szCs w:val="32"/>
        </w:rPr>
      </w:pPr>
      <w:r w:rsidRPr="00A66D33">
        <w:rPr>
          <w:rFonts w:hAnsi="標楷體" w:cs="DFKaiShu-SB-Estd-BF" w:hint="eastAsia"/>
          <w:kern w:val="0"/>
          <w:szCs w:val="32"/>
        </w:rPr>
        <w:t>學者許宗力稱</w:t>
      </w:r>
      <w:r w:rsidR="009E773E" w:rsidRPr="00A66D33">
        <w:rPr>
          <w:rFonts w:hAnsi="標楷體" w:cs="DFKaiShu-SB-Estd-BF" w:hint="eastAsia"/>
          <w:kern w:val="0"/>
          <w:szCs w:val="32"/>
        </w:rPr>
        <w:t>：</w:t>
      </w:r>
      <w:r w:rsidRPr="00A66D33">
        <w:rPr>
          <w:rFonts w:hAnsi="標楷體" w:cs="DFKaiShu-SB-Estd-BF" w:hint="eastAsia"/>
          <w:kern w:val="0"/>
          <w:szCs w:val="32"/>
        </w:rPr>
        <w:t>機關忠誠，單從用語來說，顯然是來自德國的</w:t>
      </w:r>
      <w:r w:rsidR="00EC055A" w:rsidRPr="00A66D33">
        <w:rPr>
          <w:rFonts w:hAnsi="標楷體" w:cs="DFKaiShu-SB-Estd-BF" w:hint="eastAsia"/>
          <w:kern w:val="0"/>
          <w:szCs w:val="32"/>
        </w:rPr>
        <w:t>舶</w:t>
      </w:r>
      <w:r w:rsidRPr="00A66D33">
        <w:rPr>
          <w:rFonts w:hAnsi="標楷體" w:cs="DFKaiShu-SB-Estd-BF" w:hint="eastAsia"/>
          <w:kern w:val="0"/>
          <w:szCs w:val="32"/>
        </w:rPr>
        <w:t>來品。但觀其內容，則又好像有那麼一、兩分的熟悉。沒有錯，這個熟悉的印象應是來自大法官早期釋字第3號解釋所稱「五權分治，平等相維」的「平等相維」那一面。只是「平等相維」的具體內涵為何，無論是孫中山著作或釋字第3號解釋本身都沒有說清楚講明白，甚至讓人懷疑它只是一個不具任何法規範意涵的華麗政治詞藻而已。不過，既然權力分立做為機關忠誠的法源，已成不爭之論，如果我們能進一步在機關「平等相維」的既有架構上，以</w:t>
      </w:r>
      <w:r w:rsidRPr="00A66D33">
        <w:rPr>
          <w:rFonts w:hAnsi="標楷體" w:cs="DFKaiShu-SB-Estd-BF" w:hint="eastAsia"/>
          <w:b/>
          <w:kern w:val="0"/>
          <w:szCs w:val="32"/>
        </w:rPr>
        <w:t>德國實務與學說對機關忠誠的理解來填塞「平等相維」的內涵，則無論今後是要撐「機關忠誠」或「機關相維」，至少它已經是一個具有真體規範內容，具有可操作性的的憲法原則了。更重要一點是，對以政黨鬥爭為尚，視政治妥協如無物的現階段我國而言，引進課予各機關相互扶持、尊</w:t>
      </w:r>
      <w:r w:rsidRPr="00A66D33">
        <w:rPr>
          <w:rFonts w:hAnsi="標楷體" w:cs="DFKaiShu-SB-Estd-BF" w:hint="eastAsia"/>
          <w:b/>
          <w:kern w:val="0"/>
          <w:szCs w:val="32"/>
        </w:rPr>
        <w:lastRenderedPageBreak/>
        <w:t>重與體諒義務的機關忠誠原則，別具一番深遠的現實意義。</w:t>
      </w:r>
      <w:r w:rsidR="004325BA" w:rsidRPr="00A66D33">
        <w:rPr>
          <w:rStyle w:val="aff"/>
          <w:rFonts w:hAnsi="標楷體" w:cs="DFKaiShu-SB-Estd-BF"/>
          <w:b/>
          <w:kern w:val="0"/>
          <w:szCs w:val="32"/>
        </w:rPr>
        <w:footnoteReference w:id="28"/>
      </w:r>
    </w:p>
    <w:p w:rsidR="009E773E" w:rsidRPr="00A66D33" w:rsidRDefault="009E773E" w:rsidP="009E773E">
      <w:pPr>
        <w:pStyle w:val="3"/>
        <w:rPr>
          <w:rFonts w:hAnsi="標楷體" w:cs="DFKaiShu-SB-Estd-BF"/>
          <w:b/>
          <w:kern w:val="0"/>
          <w:szCs w:val="32"/>
        </w:rPr>
      </w:pPr>
      <w:r w:rsidRPr="00A66D33">
        <w:rPr>
          <w:rFonts w:hAnsi="標楷體" w:cs="DFKaiShu-SB-Estd-BF" w:hint="eastAsia"/>
          <w:b/>
          <w:kern w:val="0"/>
          <w:szCs w:val="32"/>
        </w:rPr>
        <w:t>美國法觀點</w:t>
      </w:r>
    </w:p>
    <w:p w:rsidR="009E773E" w:rsidRPr="00A66D33" w:rsidRDefault="009E773E" w:rsidP="00306578">
      <w:pPr>
        <w:pStyle w:val="4"/>
        <w:rPr>
          <w:rFonts w:hAnsi="標楷體"/>
          <w:szCs w:val="32"/>
        </w:rPr>
      </w:pPr>
      <w:r w:rsidRPr="00A66D33">
        <w:rPr>
          <w:rFonts w:hAnsi="標楷體" w:hint="eastAsia"/>
          <w:szCs w:val="32"/>
        </w:rPr>
        <w:t>形式論的解釋取向：</w:t>
      </w:r>
    </w:p>
    <w:p w:rsidR="009E773E" w:rsidRPr="00A66D33" w:rsidRDefault="009E773E" w:rsidP="004325BA">
      <w:pPr>
        <w:pStyle w:val="42"/>
        <w:ind w:left="1701" w:firstLine="680"/>
        <w:rPr>
          <w:rFonts w:cs="DFKaiShu-SB-Estd-BF"/>
          <w:b/>
          <w:kern w:val="0"/>
        </w:rPr>
      </w:pPr>
      <w:r w:rsidRPr="00A66D33">
        <w:rPr>
          <w:rFonts w:hint="eastAsia"/>
        </w:rPr>
        <w:t>對於權力分立原則之觀點，強調行政、立法與司法三權之權力分立，政府之組織設計應維持三權分立，將權限劃清，除非憲法有明文之規定外，不允許三權之混合，認為憲法以權力分立制衡原則組織政府之目的並不在強調效率或便利，而是在保障人民之基本權利，因而反對為了效率或便利，而以彈性之作法設計或組織政府。形式論取向的基本前提是認為在憲法無明文例外規定時，立法權即由國會行使，行政權即應由總統及其所屬部會行使，司法權即應由聯邦法院行使。因此法院在審理具體案件時，主要即在確定系爭的權力是</w:t>
      </w:r>
      <w:r w:rsidRPr="00A66D33">
        <w:rPr>
          <w:rFonts w:cs="DFKaiShu-SB-Estd-BF" w:hint="eastAsia"/>
          <w:b/>
          <w:kern w:val="0"/>
        </w:rPr>
        <w:t>屬於立法權、行政權與司法權中的哪一種權力，以及行使該權力之機關是屬於國會、總統或法院，再觀察其相互間之搭配是否符合基本原則。</w:t>
      </w:r>
      <w:r w:rsidR="00306578" w:rsidRPr="00A66D33">
        <w:rPr>
          <w:rStyle w:val="aff"/>
          <w:rFonts w:hAnsi="標楷體" w:cs="DFKaiShu-SB-Estd-BF"/>
          <w:b/>
          <w:kern w:val="0"/>
          <w:szCs w:val="32"/>
        </w:rPr>
        <w:footnoteReference w:id="29"/>
      </w:r>
    </w:p>
    <w:p w:rsidR="009E773E" w:rsidRPr="00A66D33" w:rsidRDefault="009E773E" w:rsidP="00306578">
      <w:pPr>
        <w:pStyle w:val="4"/>
        <w:rPr>
          <w:rFonts w:hAnsi="標楷體" w:cs="DFKaiShu-SB-Estd-BF"/>
          <w:b/>
          <w:kern w:val="0"/>
          <w:szCs w:val="32"/>
        </w:rPr>
      </w:pPr>
      <w:r w:rsidRPr="00A66D33">
        <w:rPr>
          <w:rFonts w:hAnsi="標楷體" w:cs="DFKaiShu-SB-Estd-BF" w:hint="eastAsia"/>
          <w:b/>
          <w:kern w:val="0"/>
          <w:szCs w:val="32"/>
        </w:rPr>
        <w:t>功能論之解釋取向</w:t>
      </w:r>
      <w:r w:rsidR="00306578" w:rsidRPr="00A66D33">
        <w:rPr>
          <w:rFonts w:hAnsi="標楷體" w:cs="Arial Unicode MS" w:hint="eastAsia"/>
          <w:b/>
          <w:kern w:val="0"/>
          <w:szCs w:val="32"/>
        </w:rPr>
        <w:t>：</w:t>
      </w:r>
    </w:p>
    <w:p w:rsidR="009E773E" w:rsidRPr="00A66D33" w:rsidRDefault="009E773E" w:rsidP="004325BA">
      <w:pPr>
        <w:pStyle w:val="42"/>
        <w:ind w:left="1701" w:firstLine="681"/>
        <w:rPr>
          <w:rFonts w:hAnsi="標楷體" w:cs="DFKaiShu-SB-Estd-BF"/>
          <w:b/>
          <w:kern w:val="0"/>
          <w:szCs w:val="32"/>
        </w:rPr>
      </w:pPr>
      <w:r w:rsidRPr="00A66D33">
        <w:rPr>
          <w:rFonts w:hAnsi="標楷體" w:cs="DFKaiShu-SB-Estd-BF" w:hint="eastAsia"/>
          <w:b/>
          <w:kern w:val="0"/>
          <w:szCs w:val="32"/>
        </w:rPr>
        <w:t>功能論取向對權力分立原則之觀點，則強調三權間的制衡，政府的組織設計只要不危及各權力的核心功能，以及不影響各權力間的制衡關係，應允許其可彈性的將各權力予以混合。為使政府能因應社會的變遷，應允許政府組織作彈性設計以維持有效率之政府體制。因此權力分立制</w:t>
      </w:r>
      <w:r w:rsidRPr="00A66D33">
        <w:rPr>
          <w:rFonts w:hAnsi="標楷體" w:cs="DFKaiShu-SB-Estd-BF" w:hint="eastAsia"/>
          <w:b/>
          <w:kern w:val="0"/>
          <w:szCs w:val="32"/>
        </w:rPr>
        <w:lastRenderedPageBreak/>
        <w:t>衡原則是在維持行政、立法、司法三個部門之間權力的均衡，三個部門均有憲法所賦予之核心功能，這些核心功能或權力不能被其他權力所侵奪，故要決定某一政府的組織設計是否違反權力分立制衡原則，主要關鍵即在探究其設計否侵奪了三個權力部門中任何一個部門的核心功能而定。功能論取向並不認為立法權即應由國會行使，行政權即應由總統及其所屬部會行使，司法權即應由聯邦法院行使，毋寧是政府組織可彈性化做有效率之設計，因而聯邦法院在審理具體案件時，所應處理之問題在於系爭之政府組織設計是否破壞了三個權力部門彼此間之制衡關係，系爭之設計是否已侵奪了三個權力部門任何一個部門之核心功能，並不當的擴大了某一部門之權力。形式論取向與功能論取向之爭辯長久以來即是美國法理論傳統之重要爭點，美國憲法學界論辯至今，亦仍難有共識。</w:t>
      </w:r>
      <w:r w:rsidR="00A377D2" w:rsidRPr="00A66D33">
        <w:rPr>
          <w:rStyle w:val="aff"/>
          <w:rFonts w:hAnsi="標楷體" w:cs="DFKaiShu-SB-Estd-BF"/>
          <w:b/>
          <w:kern w:val="0"/>
          <w:szCs w:val="32"/>
        </w:rPr>
        <w:footnoteReference w:id="30"/>
      </w:r>
    </w:p>
    <w:p w:rsidR="00C25810" w:rsidRPr="00A66D33" w:rsidRDefault="004072CD" w:rsidP="006D612A">
      <w:pPr>
        <w:pStyle w:val="3"/>
      </w:pPr>
      <w:r w:rsidRPr="00A66D33">
        <w:rPr>
          <w:rFonts w:hint="eastAsia"/>
        </w:rPr>
        <w:t>監察院認為</w:t>
      </w:r>
      <w:r w:rsidR="00C25810" w:rsidRPr="00A66D33">
        <w:rPr>
          <w:rFonts w:hint="eastAsia"/>
        </w:rPr>
        <w:t>，權力分立原則有其相對性，在不同憲政體制之下</w:t>
      </w:r>
      <w:r w:rsidR="004C5B79" w:rsidRPr="00A66D33">
        <w:rPr>
          <w:rFonts w:hint="eastAsia"/>
        </w:rPr>
        <w:t>或</w:t>
      </w:r>
      <w:r w:rsidRPr="00A66D33">
        <w:rPr>
          <w:rFonts w:hint="eastAsia"/>
        </w:rPr>
        <w:t>有不同面貌</w:t>
      </w:r>
      <w:r w:rsidR="00C25810" w:rsidRPr="00A66D33">
        <w:rPr>
          <w:rFonts w:hint="eastAsia"/>
        </w:rPr>
        <w:t>。各國所採取之權力分立內涵隨其政治體制類型之相異，</w:t>
      </w:r>
      <w:r w:rsidRPr="00A66D33">
        <w:rPr>
          <w:rFonts w:hint="eastAsia"/>
        </w:rPr>
        <w:t>並無全然相同</w:t>
      </w:r>
      <w:r w:rsidR="00C25810" w:rsidRPr="00A66D33">
        <w:rPr>
          <w:rFonts w:hint="eastAsia"/>
        </w:rPr>
        <w:t>情況。欲以</w:t>
      </w:r>
      <w:r w:rsidRPr="00A66D33">
        <w:rPr>
          <w:rFonts w:hint="eastAsia"/>
        </w:rPr>
        <w:t>三權分立或</w:t>
      </w:r>
      <w:r w:rsidR="00C25810" w:rsidRPr="00A66D33">
        <w:rPr>
          <w:rFonts w:hint="eastAsia"/>
        </w:rPr>
        <w:t>總統制</w:t>
      </w:r>
      <w:r w:rsidRPr="00A66D33">
        <w:rPr>
          <w:rFonts w:hint="eastAsia"/>
        </w:rPr>
        <w:t>或內閣制</w:t>
      </w:r>
      <w:r w:rsidR="00C25810" w:rsidRPr="00A66D33">
        <w:rPr>
          <w:rFonts w:hint="eastAsia"/>
        </w:rPr>
        <w:t>制度</w:t>
      </w:r>
      <w:r w:rsidRPr="00A66D33">
        <w:rPr>
          <w:rFonts w:hint="eastAsia"/>
        </w:rPr>
        <w:t>強</w:t>
      </w:r>
      <w:r w:rsidR="004C5B79" w:rsidRPr="00A66D33">
        <w:rPr>
          <w:rFonts w:hint="eastAsia"/>
        </w:rPr>
        <w:t>加</w:t>
      </w:r>
      <w:r w:rsidRPr="00A66D33">
        <w:rPr>
          <w:rFonts w:hint="eastAsia"/>
        </w:rPr>
        <w:t>界定我國</w:t>
      </w:r>
      <w:r w:rsidR="006A5742" w:rsidRPr="00A66D33">
        <w:rPr>
          <w:rFonts w:hint="eastAsia"/>
        </w:rPr>
        <w:t>權力</w:t>
      </w:r>
      <w:r w:rsidRPr="00A66D33">
        <w:rPr>
          <w:rFonts w:hint="eastAsia"/>
        </w:rPr>
        <w:t>分立之關係</w:t>
      </w:r>
      <w:r w:rsidR="00C25810" w:rsidRPr="00A66D33">
        <w:rPr>
          <w:rFonts w:hint="eastAsia"/>
        </w:rPr>
        <w:t>，無異於緣木求魚</w:t>
      </w:r>
      <w:r w:rsidR="004C5B79" w:rsidRPr="00A66D33">
        <w:rPr>
          <w:rFonts w:hAnsi="標楷體" w:hint="eastAsia"/>
        </w:rPr>
        <w:t>，</w:t>
      </w:r>
      <w:r w:rsidR="004C5B79" w:rsidRPr="00A66D33">
        <w:rPr>
          <w:rFonts w:hint="eastAsia"/>
        </w:rPr>
        <w:t>應回歸中華民國憲法的核心概念</w:t>
      </w:r>
      <w:r w:rsidR="006D612A" w:rsidRPr="00A66D33">
        <w:rPr>
          <w:rFonts w:hint="eastAsia"/>
        </w:rPr>
        <w:t>─</w:t>
      </w:r>
      <w:r w:rsidR="004C5B79" w:rsidRPr="00A66D33">
        <w:rPr>
          <w:rFonts w:hint="eastAsia"/>
        </w:rPr>
        <w:t>五權分立的精神</w:t>
      </w:r>
      <w:r w:rsidR="00C25810" w:rsidRPr="00A66D33">
        <w:rPr>
          <w:rFonts w:hint="eastAsia"/>
        </w:rPr>
        <w:t>。</w:t>
      </w:r>
      <w:r w:rsidRPr="00A66D33">
        <w:rPr>
          <w:rFonts w:hint="eastAsia"/>
        </w:rPr>
        <w:t>其</w:t>
      </w:r>
      <w:r w:rsidR="00C25810" w:rsidRPr="00A66D33">
        <w:rPr>
          <w:rFonts w:hint="eastAsia"/>
        </w:rPr>
        <w:t>關鍵點</w:t>
      </w:r>
      <w:r w:rsidRPr="00A66D33">
        <w:rPr>
          <w:rFonts w:hint="eastAsia"/>
        </w:rPr>
        <w:t>在於，我國法律工作者對於中華民國憲法究竟有幾分尊重與瞭解。嚴格說來，亦即對於憲法忠誠義務，對於</w:t>
      </w:r>
      <w:r w:rsidR="0037417B" w:rsidRPr="00A66D33">
        <w:rPr>
          <w:rFonts w:hint="eastAsia"/>
        </w:rPr>
        <w:t>過去</w:t>
      </w:r>
      <w:r w:rsidRPr="00A66D33">
        <w:rPr>
          <w:rFonts w:hint="eastAsia"/>
        </w:rPr>
        <w:t>憲政史與憲法慣例</w:t>
      </w:r>
      <w:r w:rsidR="006362AA" w:rsidRPr="00A66D33">
        <w:rPr>
          <w:rFonts w:hint="eastAsia"/>
        </w:rPr>
        <w:t>是否</w:t>
      </w:r>
      <w:r w:rsidRPr="00A66D33">
        <w:rPr>
          <w:rFonts w:hint="eastAsia"/>
        </w:rPr>
        <w:t>尊重</w:t>
      </w:r>
      <w:r w:rsidR="004C5B79" w:rsidRPr="00A66D33">
        <w:rPr>
          <w:rFonts w:hint="eastAsia"/>
        </w:rPr>
        <w:t>或漠視</w:t>
      </w:r>
      <w:r w:rsidRPr="00A66D33">
        <w:rPr>
          <w:rFonts w:hint="eastAsia"/>
        </w:rPr>
        <w:t>，而非因個案再行創設與過去權力分立不同樣貌。換言之所要觀察是，</w:t>
      </w:r>
      <w:r w:rsidRPr="00A66D33">
        <w:rPr>
          <w:rFonts w:hint="eastAsia"/>
          <w:b/>
          <w:u w:val="single"/>
        </w:rPr>
        <w:t>除非過去憲政實務下，造成某一</w:t>
      </w:r>
      <w:r w:rsidRPr="00A66D33">
        <w:rPr>
          <w:rFonts w:hint="eastAsia"/>
          <w:b/>
          <w:u w:val="single"/>
        </w:rPr>
        <w:lastRenderedPageBreak/>
        <w:t>權力</w:t>
      </w:r>
      <w:r w:rsidR="006D612A" w:rsidRPr="00A66D33">
        <w:rPr>
          <w:rFonts w:hint="eastAsia"/>
          <w:b/>
          <w:u w:val="single"/>
        </w:rPr>
        <w:t>─</w:t>
      </w:r>
      <w:r w:rsidR="004C5B79" w:rsidRPr="00A66D33">
        <w:rPr>
          <w:rFonts w:hint="eastAsia"/>
          <w:b/>
          <w:u w:val="single"/>
        </w:rPr>
        <w:t>如監察權</w:t>
      </w:r>
      <w:r w:rsidR="004C5B79" w:rsidRPr="00A66D33">
        <w:rPr>
          <w:rFonts w:hAnsi="標楷體" w:hint="eastAsia"/>
          <w:b/>
          <w:u w:val="single"/>
        </w:rPr>
        <w:t>，</w:t>
      </w:r>
      <w:r w:rsidRPr="00A66D33">
        <w:rPr>
          <w:rFonts w:hint="eastAsia"/>
          <w:b/>
          <w:u w:val="single"/>
        </w:rPr>
        <w:t>取代或侵奪其他權力之核心領域，造成</w:t>
      </w:r>
      <w:r w:rsidR="0037417B" w:rsidRPr="00A66D33">
        <w:rPr>
          <w:rFonts w:hint="eastAsia"/>
          <w:b/>
          <w:u w:val="single"/>
        </w:rPr>
        <w:t>該</w:t>
      </w:r>
      <w:r w:rsidRPr="00A66D33">
        <w:rPr>
          <w:rFonts w:hint="eastAsia"/>
          <w:b/>
          <w:u w:val="single"/>
        </w:rPr>
        <w:t>權力獨大，</w:t>
      </w:r>
      <w:r w:rsidR="006362AA" w:rsidRPr="00A66D33">
        <w:rPr>
          <w:rFonts w:hint="eastAsia"/>
          <w:b/>
          <w:u w:val="single"/>
        </w:rPr>
        <w:t>否則不應也不該在無爭議情形下，改變該</w:t>
      </w:r>
      <w:r w:rsidR="004C5B79" w:rsidRPr="00A66D33">
        <w:rPr>
          <w:rFonts w:hint="eastAsia"/>
          <w:b/>
          <w:u w:val="single"/>
        </w:rPr>
        <w:t>憲法</w:t>
      </w:r>
      <w:r w:rsidR="006362AA" w:rsidRPr="00A66D33">
        <w:rPr>
          <w:rFonts w:hint="eastAsia"/>
          <w:b/>
          <w:u w:val="single"/>
        </w:rPr>
        <w:t>慣例，侵害憲法機關</w:t>
      </w:r>
      <w:r w:rsidR="006A5742" w:rsidRPr="00A66D33">
        <w:rPr>
          <w:b/>
          <w:u w:val="single"/>
        </w:rPr>
        <w:t>—</w:t>
      </w:r>
      <w:r w:rsidR="006A5742" w:rsidRPr="00A66D33">
        <w:rPr>
          <w:rFonts w:hint="eastAsia"/>
          <w:b/>
          <w:u w:val="single"/>
        </w:rPr>
        <w:t>如監察院</w:t>
      </w:r>
      <w:r w:rsidR="006362AA" w:rsidRPr="00A66D33">
        <w:rPr>
          <w:rFonts w:hint="eastAsia"/>
          <w:b/>
          <w:u w:val="single"/>
        </w:rPr>
        <w:t>之基本職權。</w:t>
      </w:r>
      <w:r w:rsidR="00C25810" w:rsidRPr="00A66D33">
        <w:rPr>
          <w:rFonts w:hint="eastAsia"/>
          <w:b/>
          <w:u w:val="single"/>
        </w:rPr>
        <w:t>大法官解釋憲法時，</w:t>
      </w:r>
      <w:r w:rsidR="006362AA" w:rsidRPr="00A66D33">
        <w:rPr>
          <w:rFonts w:hint="eastAsia"/>
          <w:b/>
          <w:u w:val="single"/>
        </w:rPr>
        <w:t>就</w:t>
      </w:r>
      <w:r w:rsidR="00C25810" w:rsidRPr="00A66D33">
        <w:rPr>
          <w:rFonts w:hint="eastAsia"/>
          <w:b/>
          <w:u w:val="single"/>
        </w:rPr>
        <w:t>有關外國權力分立原則之實現方式，既與我國憲政體制</w:t>
      </w:r>
      <w:r w:rsidR="006362AA" w:rsidRPr="00A66D33">
        <w:rPr>
          <w:rFonts w:hint="eastAsia"/>
          <w:b/>
          <w:u w:val="single"/>
        </w:rPr>
        <w:t>與法律條文及慣例</w:t>
      </w:r>
      <w:r w:rsidR="00C25810" w:rsidRPr="00A66D33">
        <w:rPr>
          <w:rFonts w:hint="eastAsia"/>
          <w:b/>
          <w:u w:val="single"/>
        </w:rPr>
        <w:t>相異，則有關權力分立原則之</w:t>
      </w:r>
      <w:r w:rsidR="006362AA" w:rsidRPr="00A66D33">
        <w:rPr>
          <w:rFonts w:hint="eastAsia"/>
          <w:b/>
          <w:u w:val="single"/>
        </w:rPr>
        <w:t>上開</w:t>
      </w:r>
      <w:r w:rsidR="00C25810" w:rsidRPr="00A66D33">
        <w:rPr>
          <w:rFonts w:hint="eastAsia"/>
          <w:b/>
          <w:u w:val="single"/>
        </w:rPr>
        <w:t>解釋方法對我國政府體制爭議所具之參考意義</w:t>
      </w:r>
      <w:r w:rsidR="006362AA" w:rsidRPr="00A66D33">
        <w:rPr>
          <w:rFonts w:hint="eastAsia"/>
          <w:b/>
          <w:u w:val="single"/>
        </w:rPr>
        <w:t>，</w:t>
      </w:r>
      <w:r w:rsidR="00C25810" w:rsidRPr="00A66D33">
        <w:rPr>
          <w:rFonts w:hint="eastAsia"/>
          <w:b/>
          <w:u w:val="single"/>
        </w:rPr>
        <w:t>自應審慎度量</w:t>
      </w:r>
      <w:r w:rsidR="006362AA" w:rsidRPr="00A66D33">
        <w:rPr>
          <w:rFonts w:hint="eastAsia"/>
          <w:b/>
          <w:u w:val="single"/>
        </w:rPr>
        <w:t>，以免有國籍不明之疑問，準此，</w:t>
      </w:r>
      <w:r w:rsidR="006362AA" w:rsidRPr="00A66D33">
        <w:rPr>
          <w:rFonts w:hAnsi="標楷體" w:cs="DFKaiShu-SB-Estd-BF" w:hint="eastAsia"/>
          <w:b/>
          <w:kern w:val="0"/>
          <w:szCs w:val="32"/>
          <w:u w:val="single"/>
        </w:rPr>
        <w:t>監察院認為權力分立原則在於「憲法機關有無侵害其他機關之權力核心功能」，各機關暨所屬人員應對憲法善盡忠誠義務</w:t>
      </w:r>
      <w:r w:rsidR="00C25810" w:rsidRPr="00A66D33">
        <w:rPr>
          <w:rFonts w:hint="eastAsia"/>
          <w:b/>
          <w:u w:val="single"/>
        </w:rPr>
        <w:t>。</w:t>
      </w:r>
    </w:p>
    <w:p w:rsidR="00C25810" w:rsidRPr="00A66D33" w:rsidRDefault="00B27B78" w:rsidP="004C5B79">
      <w:pPr>
        <w:pStyle w:val="2"/>
        <w:rPr>
          <w:b/>
        </w:rPr>
      </w:pPr>
      <w:r w:rsidRPr="00A66D33">
        <w:rPr>
          <w:rFonts w:hint="eastAsia"/>
          <w:b/>
        </w:rPr>
        <w:t>從中華民國監察制度演變迄今，</w:t>
      </w:r>
      <w:r w:rsidR="004C5B79" w:rsidRPr="00A66D33">
        <w:rPr>
          <w:rFonts w:hint="eastAsia"/>
          <w:b/>
        </w:rPr>
        <w:t>並無侵害其他憲法機關之核心權力之情形，反在系爭條例所</w:t>
      </w:r>
      <w:r w:rsidR="00935002" w:rsidRPr="00A66D33">
        <w:rPr>
          <w:rFonts w:hint="eastAsia"/>
          <w:b/>
        </w:rPr>
        <w:t>稱威權及一黨獨大</w:t>
      </w:r>
      <w:r w:rsidR="004C5B79" w:rsidRPr="00A66D33">
        <w:rPr>
          <w:rFonts w:hint="eastAsia"/>
          <w:b/>
        </w:rPr>
        <w:t>體制</w:t>
      </w:r>
      <w:r w:rsidR="00105898" w:rsidRPr="00A66D33">
        <w:rPr>
          <w:rFonts w:hint="eastAsia"/>
          <w:b/>
        </w:rPr>
        <w:t>之期間</w:t>
      </w:r>
      <w:r w:rsidR="004C5B79" w:rsidRPr="00A66D33">
        <w:rPr>
          <w:rFonts w:hint="eastAsia"/>
          <w:b/>
        </w:rPr>
        <w:t>，</w:t>
      </w:r>
      <w:r w:rsidR="006A5742" w:rsidRPr="00A66D33">
        <w:rPr>
          <w:rFonts w:hint="eastAsia"/>
          <w:b/>
        </w:rPr>
        <w:t>貫徹制憲者之初衷</w:t>
      </w:r>
      <w:r w:rsidR="006A5742" w:rsidRPr="00A66D33">
        <w:rPr>
          <w:rFonts w:hAnsi="標楷體" w:hint="eastAsia"/>
          <w:b/>
        </w:rPr>
        <w:t>，</w:t>
      </w:r>
      <w:r w:rsidR="000D44CA" w:rsidRPr="00A66D33">
        <w:rPr>
          <w:rFonts w:hint="eastAsia"/>
          <w:b/>
        </w:rPr>
        <w:t>實質</w:t>
      </w:r>
      <w:r w:rsidR="004C5B79" w:rsidRPr="00A66D33">
        <w:rPr>
          <w:rFonts w:hint="eastAsia"/>
          <w:b/>
        </w:rPr>
        <w:t>扮演</w:t>
      </w:r>
      <w:r w:rsidR="004C5B79" w:rsidRPr="00A66D33">
        <w:rPr>
          <w:rFonts w:hAnsi="標楷體" w:hint="eastAsia"/>
          <w:b/>
        </w:rPr>
        <w:t>憲法基本人權保障之獨立機關</w:t>
      </w:r>
      <w:r w:rsidR="000D44CA" w:rsidRPr="00A66D33">
        <w:rPr>
          <w:rFonts w:hAnsi="標楷體" w:hint="eastAsia"/>
          <w:b/>
        </w:rPr>
        <w:t>迄今</w:t>
      </w:r>
      <w:r w:rsidR="00105898" w:rsidRPr="00A66D33">
        <w:rPr>
          <w:rFonts w:hAnsi="標楷體" w:hint="eastAsia"/>
          <w:b/>
        </w:rPr>
        <w:t>，從未變更</w:t>
      </w:r>
      <w:r w:rsidR="000D44CA" w:rsidRPr="00A66D33">
        <w:rPr>
          <w:rFonts w:hAnsi="標楷體" w:hint="eastAsia"/>
          <w:b/>
        </w:rPr>
        <w:t>。</w:t>
      </w:r>
    </w:p>
    <w:p w:rsidR="00B27B78" w:rsidRPr="00A66D33" w:rsidRDefault="006A5742" w:rsidP="00B27B78">
      <w:pPr>
        <w:pStyle w:val="3"/>
      </w:pPr>
      <w:r w:rsidRPr="00A66D33">
        <w:rPr>
          <w:rFonts w:hint="eastAsia"/>
          <w:b/>
        </w:rPr>
        <w:t>孫中山先生就監察權之</w:t>
      </w:r>
      <w:r w:rsidR="00B27B78" w:rsidRPr="00A66D33">
        <w:rPr>
          <w:rFonts w:hint="eastAsia"/>
          <w:b/>
        </w:rPr>
        <w:t>憲政理念</w:t>
      </w:r>
      <w:r w:rsidR="0037417B" w:rsidRPr="00A66D33">
        <w:rPr>
          <w:rFonts w:hAnsi="標楷體" w:hint="eastAsia"/>
          <w:b/>
        </w:rPr>
        <w:t>，</w:t>
      </w:r>
      <w:r w:rsidR="0037417B" w:rsidRPr="00A66D33">
        <w:rPr>
          <w:rFonts w:hint="eastAsia"/>
          <w:b/>
        </w:rPr>
        <w:t>強調五權分立與中央政府五院制</w:t>
      </w:r>
      <w:r w:rsidR="00B27B78" w:rsidRPr="00A66D33">
        <w:rPr>
          <w:rFonts w:hint="eastAsia"/>
        </w:rPr>
        <w:t>：</w:t>
      </w:r>
    </w:p>
    <w:p w:rsidR="00B27B78" w:rsidRPr="00A66D33" w:rsidRDefault="006D612A" w:rsidP="00B27B78">
      <w:pPr>
        <w:pStyle w:val="4"/>
      </w:pPr>
      <w:r w:rsidRPr="00A66D33">
        <w:rPr>
          <w:rFonts w:hint="eastAsia"/>
        </w:rPr>
        <w:t>西元</w:t>
      </w:r>
      <w:r w:rsidR="00B27B78" w:rsidRPr="00A66D33">
        <w:rPr>
          <w:rFonts w:hint="eastAsia"/>
        </w:rPr>
        <w:t>1906年演講《三民主義與中國民族之前途》首揭「糾察權」</w:t>
      </w:r>
      <w:r w:rsidR="00B27B78" w:rsidRPr="00A66D33">
        <w:rPr>
          <w:rStyle w:val="aff"/>
          <w:rFonts w:hAnsi="標楷體"/>
          <w:bCs/>
          <w:sz w:val="28"/>
        </w:rPr>
        <w:footnoteReference w:id="31"/>
      </w:r>
      <w:r w:rsidR="00B27B78" w:rsidRPr="00A66D33">
        <w:rPr>
          <w:rFonts w:hint="eastAsia"/>
        </w:rPr>
        <w:t>機關獨立</w:t>
      </w:r>
      <w:r w:rsidR="00B27B78" w:rsidRPr="00A66D33">
        <w:rPr>
          <w:rFonts w:hAnsi="標楷體" w:hint="eastAsia"/>
        </w:rPr>
        <w:t>，</w:t>
      </w:r>
      <w:r w:rsidR="00B27B78" w:rsidRPr="00A66D33">
        <w:rPr>
          <w:rFonts w:hint="eastAsia"/>
        </w:rPr>
        <w:t>防止議會專制</w:t>
      </w:r>
      <w:r w:rsidR="00B27B78" w:rsidRPr="00A66D33">
        <w:rPr>
          <w:rFonts w:hAnsi="標楷體" w:hint="eastAsia"/>
        </w:rPr>
        <w:t>。</w:t>
      </w:r>
    </w:p>
    <w:p w:rsidR="00B27B78" w:rsidRPr="00A66D33" w:rsidRDefault="006D612A" w:rsidP="006D612A">
      <w:pPr>
        <w:pStyle w:val="4"/>
      </w:pPr>
      <w:r w:rsidRPr="00A66D33">
        <w:rPr>
          <w:rFonts w:hint="eastAsia"/>
        </w:rPr>
        <w:t>西元</w:t>
      </w:r>
      <w:r w:rsidR="00B27B78" w:rsidRPr="00A66D33">
        <w:rPr>
          <w:rFonts w:hint="eastAsia"/>
        </w:rPr>
        <w:t>1910年在美國舊金山與劉成禺談話，說明「監察考試兩權為中國歷史所獨有」</w:t>
      </w:r>
      <w:r w:rsidR="00B27B78" w:rsidRPr="00A66D33">
        <w:rPr>
          <w:rStyle w:val="aff"/>
        </w:rPr>
        <w:footnoteReference w:id="32"/>
      </w:r>
    </w:p>
    <w:p w:rsidR="00B27B78" w:rsidRPr="00A66D33" w:rsidRDefault="006D612A" w:rsidP="0037417B">
      <w:pPr>
        <w:pStyle w:val="4"/>
        <w:rPr>
          <w:rFonts w:hAnsi="標楷體"/>
          <w:bCs/>
          <w:sz w:val="28"/>
        </w:rPr>
      </w:pPr>
      <w:r w:rsidRPr="00A66D33">
        <w:rPr>
          <w:rFonts w:hint="eastAsia"/>
        </w:rPr>
        <w:lastRenderedPageBreak/>
        <w:t>西元</w:t>
      </w:r>
      <w:r w:rsidR="00B27B78" w:rsidRPr="00A66D33">
        <w:rPr>
          <w:rFonts w:hint="eastAsia"/>
        </w:rPr>
        <w:t>1916年7月，講《憲法之基礎》，監察、考試，我國昔已有之，主張五權分立</w:t>
      </w:r>
      <w:r w:rsidR="00B27B78" w:rsidRPr="00A66D33">
        <w:rPr>
          <w:rStyle w:val="aff"/>
          <w:rFonts w:hAnsi="標楷體"/>
          <w:bCs/>
          <w:sz w:val="28"/>
        </w:rPr>
        <w:footnoteReference w:id="33"/>
      </w:r>
      <w:r w:rsidR="0037417B" w:rsidRPr="00A66D33">
        <w:rPr>
          <w:rFonts w:hAnsi="標楷體" w:hint="eastAsia"/>
          <w:bCs/>
          <w:sz w:val="28"/>
        </w:rPr>
        <w:t>。</w:t>
      </w:r>
    </w:p>
    <w:p w:rsidR="00B27B78" w:rsidRPr="00A66D33" w:rsidRDefault="006D612A" w:rsidP="0037417B">
      <w:pPr>
        <w:pStyle w:val="4"/>
        <w:rPr>
          <w:rFonts w:hAnsi="標楷體"/>
          <w:sz w:val="28"/>
        </w:rPr>
      </w:pPr>
      <w:r w:rsidRPr="00A66D33">
        <w:rPr>
          <w:rFonts w:hint="eastAsia"/>
        </w:rPr>
        <w:t>西元</w:t>
      </w:r>
      <w:r w:rsidR="00B27B78" w:rsidRPr="00A66D33">
        <w:rPr>
          <w:rFonts w:hint="eastAsia"/>
        </w:rPr>
        <w:t>1916年8月，講演「五權分立足以救三權鼎立之弊」</w:t>
      </w:r>
      <w:r w:rsidR="0037417B" w:rsidRPr="00A66D33">
        <w:rPr>
          <w:rStyle w:val="aff"/>
          <w:rFonts w:hAnsi="標楷體"/>
          <w:bCs/>
          <w:sz w:val="28"/>
        </w:rPr>
        <w:footnoteReference w:id="34"/>
      </w:r>
      <w:r w:rsidRPr="00A66D33">
        <w:rPr>
          <w:rFonts w:hAnsi="標楷體" w:hint="eastAsia"/>
          <w:bCs/>
          <w:sz w:val="28"/>
        </w:rPr>
        <w:t>。</w:t>
      </w:r>
    </w:p>
    <w:p w:rsidR="00B27B78" w:rsidRPr="00A66D33" w:rsidRDefault="006D612A" w:rsidP="0037417B">
      <w:pPr>
        <w:pStyle w:val="4"/>
        <w:rPr>
          <w:rFonts w:hAnsi="標楷體"/>
          <w:bCs/>
          <w:sz w:val="28"/>
        </w:rPr>
      </w:pPr>
      <w:r w:rsidRPr="00A66D33">
        <w:rPr>
          <w:rFonts w:hint="eastAsia"/>
        </w:rPr>
        <w:t>西元</w:t>
      </w:r>
      <w:r w:rsidR="00B27B78" w:rsidRPr="00A66D33">
        <w:rPr>
          <w:rFonts w:hint="eastAsia"/>
        </w:rPr>
        <w:t>1919年出版《孫文學說》，提倡中央政府五院制</w:t>
      </w:r>
      <w:r w:rsidR="0037417B" w:rsidRPr="00A66D33">
        <w:rPr>
          <w:rStyle w:val="aff"/>
          <w:rFonts w:hAnsi="標楷體"/>
          <w:bCs/>
          <w:sz w:val="28"/>
        </w:rPr>
        <w:footnoteReference w:id="35"/>
      </w:r>
      <w:r w:rsidR="0037417B" w:rsidRPr="00A66D33">
        <w:rPr>
          <w:rFonts w:hAnsi="標楷體" w:hint="eastAsia"/>
          <w:bCs/>
          <w:sz w:val="28"/>
        </w:rPr>
        <w:t>。</w:t>
      </w:r>
    </w:p>
    <w:p w:rsidR="0037417B" w:rsidRPr="00A66D33" w:rsidRDefault="006D612A" w:rsidP="0037417B">
      <w:pPr>
        <w:pStyle w:val="4"/>
      </w:pPr>
      <w:r w:rsidRPr="00A66D33">
        <w:rPr>
          <w:rFonts w:hint="eastAsia"/>
        </w:rPr>
        <w:t>西元</w:t>
      </w:r>
      <w:r w:rsidR="00B27B78" w:rsidRPr="00A66D33">
        <w:rPr>
          <w:rFonts w:hint="eastAsia"/>
        </w:rPr>
        <w:t>1921年講《五權憲法》，彈劾權應獨立，設監察官行使彈劾權</w:t>
      </w:r>
      <w:r w:rsidR="0037417B" w:rsidRPr="00A66D33">
        <w:rPr>
          <w:rStyle w:val="aff"/>
          <w:rFonts w:hAnsi="標楷體"/>
          <w:bCs/>
          <w:sz w:val="28"/>
        </w:rPr>
        <w:footnoteReference w:id="36"/>
      </w:r>
      <w:r w:rsidR="000D2A39" w:rsidRPr="00A66D33">
        <w:rPr>
          <w:rFonts w:hint="eastAsia"/>
        </w:rPr>
        <w:t>。</w:t>
      </w:r>
    </w:p>
    <w:p w:rsidR="00B27B78" w:rsidRPr="00A66D33" w:rsidRDefault="000D2A39" w:rsidP="0037417B">
      <w:pPr>
        <w:pStyle w:val="4"/>
      </w:pPr>
      <w:r w:rsidRPr="00A66D33">
        <w:rPr>
          <w:rFonts w:hint="eastAsia"/>
        </w:rPr>
        <w:lastRenderedPageBreak/>
        <w:t>西元</w:t>
      </w:r>
      <w:r w:rsidR="00B27B78" w:rsidRPr="00A66D33">
        <w:rPr>
          <w:rFonts w:hint="eastAsia"/>
        </w:rPr>
        <w:t>1924年《民權主義－第六講》揭示「政權之四權、治權（監察權）之五權，各有統屬，各有作用」</w:t>
      </w:r>
      <w:r w:rsidR="0037417B" w:rsidRPr="00A66D33">
        <w:rPr>
          <w:rStyle w:val="aff"/>
          <w:rFonts w:hAnsi="標楷體"/>
          <w:bCs/>
          <w:sz w:val="28"/>
        </w:rPr>
        <w:footnoteReference w:id="37"/>
      </w:r>
      <w:r w:rsidRPr="00A66D33">
        <w:rPr>
          <w:rFonts w:hint="eastAsia"/>
        </w:rPr>
        <w:t>。</w:t>
      </w:r>
    </w:p>
    <w:p w:rsidR="00B27B78" w:rsidRPr="00A66D33" w:rsidRDefault="000D2A39" w:rsidP="0037417B">
      <w:pPr>
        <w:pStyle w:val="4"/>
      </w:pPr>
      <w:r w:rsidRPr="00A66D33">
        <w:rPr>
          <w:rFonts w:hint="eastAsia"/>
        </w:rPr>
        <w:t>西元</w:t>
      </w:r>
      <w:r w:rsidR="00B27B78" w:rsidRPr="00A66D33">
        <w:rPr>
          <w:rFonts w:hint="eastAsia"/>
        </w:rPr>
        <w:t>1924年《國民政府建國大綱》，確定「五權憲法建設中華民國」、「</w:t>
      </w:r>
      <w:r w:rsidR="00B27B78" w:rsidRPr="00A66D33">
        <w:rPr>
          <w:rFonts w:hint="eastAsia"/>
          <w:szCs w:val="20"/>
        </w:rPr>
        <w:t>完成設立五院（包括監察院），試行五權之治</w:t>
      </w:r>
      <w:r w:rsidR="00B27B78" w:rsidRPr="00A66D33">
        <w:rPr>
          <w:rFonts w:hint="eastAsia"/>
        </w:rPr>
        <w:t>」</w:t>
      </w:r>
      <w:r w:rsidR="0037417B" w:rsidRPr="00A66D33">
        <w:rPr>
          <w:rStyle w:val="aff"/>
          <w:rFonts w:hAnsi="標楷體"/>
          <w:bCs/>
          <w:sz w:val="28"/>
        </w:rPr>
        <w:footnoteReference w:id="38"/>
      </w:r>
      <w:r w:rsidRPr="00A66D33">
        <w:rPr>
          <w:rFonts w:hint="eastAsia"/>
        </w:rPr>
        <w:t>。</w:t>
      </w:r>
    </w:p>
    <w:p w:rsidR="00BC1290" w:rsidRPr="00A66D33" w:rsidRDefault="0004289F" w:rsidP="000D2A39">
      <w:pPr>
        <w:pStyle w:val="3"/>
        <w:rPr>
          <w:b/>
        </w:rPr>
      </w:pPr>
      <w:r w:rsidRPr="00A66D33">
        <w:rPr>
          <w:rFonts w:hint="eastAsia"/>
          <w:b/>
        </w:rPr>
        <w:t>制憲前監察權制度，調查權即為監察權之核心事項</w:t>
      </w:r>
      <w:r w:rsidR="00DD439F" w:rsidRPr="00A66D33">
        <w:rPr>
          <w:rFonts w:hint="eastAsia"/>
          <w:b/>
        </w:rPr>
        <w:t>從未變動</w:t>
      </w:r>
      <w:r w:rsidRPr="00A66D33">
        <w:rPr>
          <w:rFonts w:hint="eastAsia"/>
          <w:b/>
        </w:rPr>
        <w:t>，</w:t>
      </w:r>
      <w:r w:rsidR="00DD439F" w:rsidRPr="00A66D33">
        <w:rPr>
          <w:rFonts w:hint="eastAsia"/>
          <w:b/>
        </w:rPr>
        <w:t>迄至憲法</w:t>
      </w:r>
      <w:r w:rsidR="00A377D2" w:rsidRPr="00A66D33">
        <w:rPr>
          <w:rFonts w:hint="eastAsia"/>
          <w:b/>
        </w:rPr>
        <w:t>制定</w:t>
      </w:r>
      <w:r w:rsidR="00DD439F" w:rsidRPr="00A66D33">
        <w:rPr>
          <w:rFonts w:hint="eastAsia"/>
          <w:b/>
        </w:rPr>
        <w:t>時，</w:t>
      </w:r>
      <w:r w:rsidR="00EC4BB8" w:rsidRPr="00A66D33">
        <w:rPr>
          <w:rFonts w:hint="eastAsia"/>
          <w:b/>
        </w:rPr>
        <w:t>固</w:t>
      </w:r>
      <w:r w:rsidR="00105898" w:rsidRPr="00A66D33">
        <w:rPr>
          <w:rFonts w:hint="eastAsia"/>
          <w:b/>
        </w:rPr>
        <w:t>其全貌有異於五五憲草</w:t>
      </w:r>
      <w:r w:rsidR="00DD439F" w:rsidRPr="00A66D33">
        <w:rPr>
          <w:rFonts w:hint="eastAsia"/>
          <w:b/>
        </w:rPr>
        <w:t>，</w:t>
      </w:r>
      <w:r w:rsidR="00EC4BB8" w:rsidRPr="00A66D33">
        <w:rPr>
          <w:rFonts w:hint="eastAsia"/>
          <w:b/>
        </w:rPr>
        <w:t>而</w:t>
      </w:r>
      <w:r w:rsidR="00DD439F" w:rsidRPr="00A66D33">
        <w:rPr>
          <w:rFonts w:hint="eastAsia"/>
          <w:b/>
        </w:rPr>
        <w:t>將彈劾權與懲戒權分立，</w:t>
      </w:r>
      <w:r w:rsidR="00105898" w:rsidRPr="00A66D33">
        <w:rPr>
          <w:rFonts w:hint="eastAsia"/>
          <w:b/>
        </w:rPr>
        <w:t>俾</w:t>
      </w:r>
      <w:r w:rsidR="00DD439F" w:rsidRPr="00A66D33">
        <w:rPr>
          <w:rFonts w:hint="eastAsia"/>
          <w:b/>
        </w:rPr>
        <w:t>符合民主法治國家之基本要求</w:t>
      </w:r>
      <w:r w:rsidR="00EC4BB8" w:rsidRPr="00A66D33">
        <w:rPr>
          <w:rFonts w:hint="eastAsia"/>
          <w:b/>
        </w:rPr>
        <w:t>，然就調查權之行使，憲法特別</w:t>
      </w:r>
      <w:r w:rsidR="00A377D2" w:rsidRPr="00A66D33">
        <w:rPr>
          <w:rFonts w:hint="eastAsia"/>
          <w:b/>
        </w:rPr>
        <w:t>制定</w:t>
      </w:r>
      <w:r w:rsidR="00EC4BB8" w:rsidRPr="00A66D33">
        <w:rPr>
          <w:rFonts w:hint="eastAsia"/>
          <w:b/>
        </w:rPr>
        <w:t>第95條與第96條規定，在</w:t>
      </w:r>
      <w:r w:rsidR="00C02781" w:rsidRPr="00A66D33">
        <w:rPr>
          <w:rFonts w:hint="eastAsia"/>
          <w:b/>
        </w:rPr>
        <w:t>中華民國之</w:t>
      </w:r>
      <w:r w:rsidR="00EC4BB8" w:rsidRPr="00A66D33">
        <w:rPr>
          <w:rFonts w:hint="eastAsia"/>
          <w:b/>
        </w:rPr>
        <w:t>憲法體制下</w:t>
      </w:r>
      <w:r w:rsidR="00105898" w:rsidRPr="00A66D33">
        <w:rPr>
          <w:rFonts w:hint="eastAsia"/>
          <w:b/>
        </w:rPr>
        <w:t>具有</w:t>
      </w:r>
      <w:r w:rsidR="00C02781" w:rsidRPr="00A66D33">
        <w:rPr>
          <w:rFonts w:hint="eastAsia"/>
          <w:b/>
        </w:rPr>
        <w:t>特殊</w:t>
      </w:r>
      <w:r w:rsidR="00EC4BB8" w:rsidRPr="00A66D33">
        <w:rPr>
          <w:rFonts w:hint="eastAsia"/>
          <w:b/>
        </w:rPr>
        <w:t>意義，亦即昭告監察權對於其他各權之監督關係</w:t>
      </w:r>
      <w:r w:rsidR="00262C5F" w:rsidRPr="00A66D33">
        <w:rPr>
          <w:rFonts w:hAnsi="標楷體" w:hint="eastAsia"/>
          <w:b/>
        </w:rPr>
        <w:t>，</w:t>
      </w:r>
      <w:r w:rsidR="00C02781" w:rsidRPr="00A66D33">
        <w:rPr>
          <w:rFonts w:hAnsi="標楷體" w:hint="eastAsia"/>
          <w:b/>
        </w:rPr>
        <w:t>亦即</w:t>
      </w:r>
      <w:r w:rsidR="00262C5F" w:rsidRPr="00A66D33">
        <w:rPr>
          <w:rFonts w:hint="eastAsia"/>
          <w:b/>
        </w:rPr>
        <w:t>透過調查權調查各機關與人員之違法與失職而實踐</w:t>
      </w:r>
      <w:r w:rsidR="00DD439F" w:rsidRPr="00A66D33">
        <w:rPr>
          <w:rFonts w:hint="eastAsia"/>
          <w:b/>
        </w:rPr>
        <w:t>。</w:t>
      </w:r>
    </w:p>
    <w:p w:rsidR="0004289F" w:rsidRPr="00A66D33" w:rsidRDefault="0004289F" w:rsidP="0004289F">
      <w:pPr>
        <w:pStyle w:val="4"/>
      </w:pPr>
      <w:r w:rsidRPr="00A66D33">
        <w:rPr>
          <w:rFonts w:hint="eastAsia"/>
        </w:rPr>
        <w:t>14年7月1日，國民政府成立後，國民黨中央政治委員會於7月7日會議推定</w:t>
      </w:r>
      <w:r w:rsidRPr="00A66D33">
        <w:rPr>
          <w:rFonts w:hint="eastAsia"/>
          <w:u w:val="single"/>
        </w:rPr>
        <w:t>謝持</w:t>
      </w:r>
      <w:r w:rsidRPr="00A66D33">
        <w:rPr>
          <w:rFonts w:hint="eastAsia"/>
        </w:rPr>
        <w:t>、</w:t>
      </w:r>
      <w:r w:rsidRPr="00A66D33">
        <w:rPr>
          <w:rFonts w:hint="eastAsia"/>
          <w:u w:val="single"/>
        </w:rPr>
        <w:t>林祖涵</w:t>
      </w:r>
      <w:r w:rsidRPr="00A66D33">
        <w:rPr>
          <w:rFonts w:hint="eastAsia"/>
        </w:rPr>
        <w:t>、</w:t>
      </w:r>
      <w:r w:rsidRPr="00A66D33">
        <w:rPr>
          <w:rFonts w:hint="eastAsia"/>
          <w:u w:val="single"/>
        </w:rPr>
        <w:t>黃昌穀</w:t>
      </w:r>
      <w:r w:rsidRPr="00A66D33">
        <w:rPr>
          <w:rFonts w:hint="eastAsia"/>
        </w:rPr>
        <w:t>、</w:t>
      </w:r>
      <w:r w:rsidRPr="00A66D33">
        <w:rPr>
          <w:rFonts w:hint="eastAsia"/>
          <w:u w:val="single"/>
        </w:rPr>
        <w:t>甘乃光</w:t>
      </w:r>
      <w:r w:rsidRPr="00A66D33">
        <w:rPr>
          <w:rFonts w:hint="eastAsia"/>
        </w:rPr>
        <w:t>、</w:t>
      </w:r>
      <w:r w:rsidRPr="00A66D33">
        <w:rPr>
          <w:rFonts w:hint="eastAsia"/>
          <w:u w:val="single"/>
        </w:rPr>
        <w:t>陳秋霖</w:t>
      </w:r>
      <w:r w:rsidRPr="00A66D33">
        <w:rPr>
          <w:rFonts w:hint="eastAsia"/>
        </w:rPr>
        <w:t>5人為監察委員，</w:t>
      </w:r>
      <w:r w:rsidRPr="00A66D33">
        <w:rPr>
          <w:rFonts w:hint="eastAsia"/>
          <w:u w:val="single"/>
        </w:rPr>
        <w:t>徐謙</w:t>
      </w:r>
      <w:r w:rsidRPr="00A66D33">
        <w:rPr>
          <w:rFonts w:hint="eastAsia"/>
        </w:rPr>
        <w:t>、</w:t>
      </w:r>
      <w:r w:rsidRPr="00A66D33">
        <w:rPr>
          <w:rFonts w:hint="eastAsia"/>
          <w:u w:val="single"/>
        </w:rPr>
        <w:t>鄧澤如</w:t>
      </w:r>
      <w:r w:rsidRPr="00A66D33">
        <w:rPr>
          <w:rFonts w:hint="eastAsia"/>
        </w:rPr>
        <w:t>、</w:t>
      </w:r>
      <w:r w:rsidRPr="00A66D33">
        <w:rPr>
          <w:rFonts w:hint="eastAsia"/>
          <w:u w:val="single"/>
        </w:rPr>
        <w:t>林翔</w:t>
      </w:r>
      <w:r w:rsidRPr="00A66D33">
        <w:rPr>
          <w:rFonts w:hint="eastAsia"/>
        </w:rPr>
        <w:t>、</w:t>
      </w:r>
      <w:r w:rsidRPr="00A66D33">
        <w:rPr>
          <w:rFonts w:hint="eastAsia"/>
          <w:u w:val="single"/>
        </w:rPr>
        <w:t>鄒魯</w:t>
      </w:r>
      <w:r w:rsidRPr="00A66D33">
        <w:rPr>
          <w:rFonts w:hint="eastAsia"/>
        </w:rPr>
        <w:t>、</w:t>
      </w:r>
      <w:r w:rsidRPr="00A66D33">
        <w:rPr>
          <w:rFonts w:hint="eastAsia"/>
          <w:u w:val="single"/>
        </w:rPr>
        <w:t>林雲陔</w:t>
      </w:r>
      <w:r w:rsidRPr="00A66D33">
        <w:rPr>
          <w:rFonts w:hint="eastAsia"/>
        </w:rPr>
        <w:t>為懲治委員。14年7月17日，</w:t>
      </w:r>
      <w:r w:rsidRPr="00A66D33">
        <w:rPr>
          <w:rFonts w:hint="eastAsia"/>
        </w:rPr>
        <w:lastRenderedPageBreak/>
        <w:t>公布</w:t>
      </w:r>
      <w:r w:rsidRPr="00A66D33">
        <w:rPr>
          <w:rFonts w:hint="eastAsia"/>
          <w:bCs/>
        </w:rPr>
        <w:t>《監察院組織法》</w:t>
      </w:r>
      <w:r w:rsidRPr="00A66D33">
        <w:rPr>
          <w:rFonts w:hint="eastAsia"/>
        </w:rPr>
        <w:t>計13條，</w:t>
      </w:r>
      <w:r w:rsidRPr="00A66D33">
        <w:rPr>
          <w:rFonts w:hint="eastAsia"/>
          <w:bCs/>
        </w:rPr>
        <w:t>14年8月1日，「監察院」</w:t>
      </w:r>
      <w:r w:rsidRPr="00A66D33">
        <w:rPr>
          <w:rFonts w:hint="eastAsia"/>
        </w:rPr>
        <w:t>成為五院制最早組織成立，亦為國民政府試行監察權之始。</w:t>
      </w:r>
      <w:r w:rsidRPr="00A66D33">
        <w:rPr>
          <w:rFonts w:hint="eastAsia"/>
          <w:bCs/>
        </w:rPr>
        <w:t>14年《監察院組織法》</w:t>
      </w:r>
      <w:r w:rsidRPr="00A66D33">
        <w:rPr>
          <w:rFonts w:hint="eastAsia"/>
        </w:rPr>
        <w:t>規定略以：</w:t>
      </w:r>
    </w:p>
    <w:p w:rsidR="0004289F" w:rsidRPr="00A66D33" w:rsidRDefault="0004289F" w:rsidP="0004289F">
      <w:pPr>
        <w:pStyle w:val="5"/>
      </w:pPr>
      <w:r w:rsidRPr="00A66D33">
        <w:rPr>
          <w:rFonts w:hint="eastAsia"/>
        </w:rPr>
        <w:t>「監察院」受中國國民黨之指導監督，與國民政府之命令，根據中國國民黨中央執行委員會政府改組案第3條，監察國民政府所屬各級機關官吏之行動，及考核稅收與各種用途之狀況。如查得有舞弊虧空及溺職等情，當即起訴於「懲吏院」懲辦之。</w:t>
      </w:r>
    </w:p>
    <w:p w:rsidR="0004289F" w:rsidRPr="00A66D33" w:rsidRDefault="0004289F" w:rsidP="0004289F">
      <w:pPr>
        <w:pStyle w:val="5"/>
      </w:pPr>
      <w:r w:rsidRPr="00A66D33">
        <w:rPr>
          <w:rFonts w:hint="eastAsia"/>
        </w:rPr>
        <w:t>「監察院」分設監察委員5人，執行院務，互選1人為主席。所有全院事務均由院務會議解決之。院務會議議決後，由主席署名，以「監察院」名義行之。</w:t>
      </w:r>
    </w:p>
    <w:p w:rsidR="0004289F" w:rsidRPr="00A66D33" w:rsidRDefault="0004289F" w:rsidP="0004289F">
      <w:pPr>
        <w:pStyle w:val="5"/>
      </w:pPr>
      <w:r w:rsidRPr="00A66D33">
        <w:rPr>
          <w:rFonts w:hint="eastAsia"/>
        </w:rPr>
        <w:t>「監察院」分設五局及一政治宣傳科，五局各設主任1人，由監察委員分任。</w:t>
      </w:r>
      <w:r w:rsidRPr="00A66D33">
        <w:rPr>
          <w:rFonts w:hint="eastAsia"/>
          <w:u w:val="single"/>
        </w:rPr>
        <w:t>第一局</w:t>
      </w:r>
      <w:r w:rsidRPr="00A66D33">
        <w:rPr>
          <w:rFonts w:hint="eastAsia"/>
        </w:rPr>
        <w:t>分設總務、吏治二科。吏治科職掌：考察各官吏之稱職與瀆職，以便升降。調查各大學及專門學校之人才，以便薦舉。建立考試制度，以求政府各種適當人才。</w:t>
      </w:r>
      <w:r w:rsidRPr="00A66D33">
        <w:rPr>
          <w:rFonts w:hint="eastAsia"/>
          <w:u w:val="single"/>
        </w:rPr>
        <w:t>第二局</w:t>
      </w:r>
      <w:r w:rsidRPr="00A66D33">
        <w:rPr>
          <w:rFonts w:hint="eastAsia"/>
        </w:rPr>
        <w:t>分設訓練、審計二科。</w:t>
      </w:r>
      <w:r w:rsidRPr="00A66D33">
        <w:rPr>
          <w:rFonts w:hint="eastAsia"/>
          <w:u w:val="single"/>
        </w:rPr>
        <w:t>第三局</w:t>
      </w:r>
      <w:r w:rsidRPr="00A66D33">
        <w:rPr>
          <w:rFonts w:hint="eastAsia"/>
        </w:rPr>
        <w:t>分設郵電、運輸二科。</w:t>
      </w:r>
      <w:r w:rsidRPr="00A66D33">
        <w:rPr>
          <w:rFonts w:hint="eastAsia"/>
          <w:u w:val="single"/>
        </w:rPr>
        <w:t>第四局</w:t>
      </w:r>
      <w:r w:rsidRPr="00A66D33">
        <w:rPr>
          <w:rFonts w:hint="eastAsia"/>
        </w:rPr>
        <w:t>分設稅務、貨幣二科。</w:t>
      </w:r>
      <w:r w:rsidRPr="00A66D33">
        <w:rPr>
          <w:rFonts w:hint="eastAsia"/>
          <w:u w:val="single"/>
        </w:rPr>
        <w:t>第五局</w:t>
      </w:r>
      <w:r w:rsidRPr="00A66D33">
        <w:rPr>
          <w:rFonts w:hint="eastAsia"/>
        </w:rPr>
        <w:t>分設密查、檢查二科，均為對各部門之調查工作。</w:t>
      </w:r>
    </w:p>
    <w:p w:rsidR="0004289F" w:rsidRPr="00A66D33" w:rsidRDefault="0004289F" w:rsidP="0004289F">
      <w:pPr>
        <w:pStyle w:val="4"/>
      </w:pPr>
      <w:r w:rsidRPr="00A66D33">
        <w:rPr>
          <w:rFonts w:hint="eastAsia"/>
        </w:rPr>
        <w:t>14年9月30日，國民政府公布</w:t>
      </w:r>
      <w:r w:rsidRPr="00A66D33">
        <w:rPr>
          <w:rFonts w:hint="eastAsia"/>
          <w:bCs/>
        </w:rPr>
        <w:t>第一次修正14年《監察院組織法》</w:t>
      </w:r>
      <w:r w:rsidRPr="00A66D33">
        <w:rPr>
          <w:rFonts w:hint="eastAsia"/>
        </w:rPr>
        <w:t>21條。組織方面改為三局（</w:t>
      </w:r>
      <w:r w:rsidRPr="00A66D33">
        <w:rPr>
          <w:rFonts w:hint="eastAsia"/>
          <w:u w:val="single"/>
        </w:rPr>
        <w:t>第一局</w:t>
      </w:r>
      <w:r w:rsidRPr="00A66D33">
        <w:rPr>
          <w:rFonts w:hint="eastAsia"/>
        </w:rPr>
        <w:t>分設考試、實業二科；</w:t>
      </w:r>
      <w:r w:rsidRPr="00A66D33">
        <w:rPr>
          <w:rFonts w:hint="eastAsia"/>
          <w:u w:val="single"/>
        </w:rPr>
        <w:t>第二局</w:t>
      </w:r>
      <w:r w:rsidRPr="00A66D33">
        <w:rPr>
          <w:rFonts w:hint="eastAsia"/>
        </w:rPr>
        <w:t>分設審計、財政二科；</w:t>
      </w:r>
      <w:r w:rsidRPr="00A66D33">
        <w:rPr>
          <w:rFonts w:hint="eastAsia"/>
          <w:u w:val="single"/>
        </w:rPr>
        <w:t>第三局</w:t>
      </w:r>
      <w:r w:rsidRPr="00A66D33">
        <w:rPr>
          <w:rFonts w:hint="eastAsia"/>
        </w:rPr>
        <w:t>分設吏治、訓練二科）。監察委員仍設5人，不選主席。關於監察職權，詳細規定於第8條：</w:t>
      </w:r>
    </w:p>
    <w:p w:rsidR="0004289F" w:rsidRPr="00A66D33" w:rsidRDefault="0004289F" w:rsidP="0004289F">
      <w:pPr>
        <w:pStyle w:val="5"/>
        <w:rPr>
          <w:b/>
        </w:rPr>
      </w:pPr>
      <w:r w:rsidRPr="00A66D33">
        <w:rPr>
          <w:rFonts w:hint="eastAsia"/>
          <w:b/>
        </w:rPr>
        <w:t>「監察院」行使職權時，有隨時調閱各官署之</w:t>
      </w:r>
      <w:r w:rsidRPr="00A66D33">
        <w:rPr>
          <w:rFonts w:hint="eastAsia"/>
          <w:b/>
        </w:rPr>
        <w:lastRenderedPageBreak/>
        <w:t>案牘簿冊之權。遇有質疑，該官署主管人員須負責為充分之答辯。</w:t>
      </w:r>
    </w:p>
    <w:p w:rsidR="0004289F" w:rsidRPr="00A66D33" w:rsidRDefault="0004289F" w:rsidP="0004289F">
      <w:pPr>
        <w:pStyle w:val="5"/>
      </w:pPr>
      <w:r w:rsidRPr="00A66D33">
        <w:rPr>
          <w:rFonts w:hint="eastAsia"/>
        </w:rPr>
        <w:t>「監察院」對於各官吏之違法或不當處分，認為損害人民權利或利益者，得不待人民之陳訴，</w:t>
      </w:r>
      <w:r w:rsidRPr="00A66D33">
        <w:rPr>
          <w:rFonts w:hint="eastAsia"/>
          <w:b/>
        </w:rPr>
        <w:t>逕以職權為取消或變更之決定</w:t>
      </w:r>
      <w:r w:rsidRPr="00A66D33">
        <w:rPr>
          <w:rFonts w:hint="eastAsia"/>
        </w:rPr>
        <w:t>，呈由國民政府或咨由該管最高級行政官署轉令按照執行。</w:t>
      </w:r>
    </w:p>
    <w:p w:rsidR="0004289F" w:rsidRPr="00A66D33" w:rsidRDefault="0004289F" w:rsidP="000D2A39">
      <w:pPr>
        <w:pStyle w:val="5"/>
      </w:pPr>
      <w:r w:rsidRPr="00A66D33">
        <w:rPr>
          <w:rFonts w:hint="eastAsia"/>
        </w:rPr>
        <w:t>各官署有不服「監察院」取消或變更其處分之決定者，得於奉到執行命令之次日起，10日內提出抗辯書。但再經「監察院」決定仍維持原決定時，應即按照執行。</w:t>
      </w:r>
    </w:p>
    <w:p w:rsidR="0004289F" w:rsidRPr="00A66D33" w:rsidRDefault="0004289F" w:rsidP="000D2A39">
      <w:pPr>
        <w:pStyle w:val="5"/>
      </w:pPr>
      <w:r w:rsidRPr="00A66D33">
        <w:rPr>
          <w:rFonts w:hint="eastAsia"/>
        </w:rPr>
        <w:t>各官署不服「監察院」之決定，不依限提出抗辯書，而又不按照執行者，「監察院」即提起糾彈，交付懲戒。</w:t>
      </w:r>
    </w:p>
    <w:p w:rsidR="0004289F" w:rsidRPr="00A66D33" w:rsidRDefault="0004289F" w:rsidP="000D2A39">
      <w:pPr>
        <w:pStyle w:val="5"/>
      </w:pPr>
      <w:r w:rsidRPr="00A66D33">
        <w:rPr>
          <w:rFonts w:hint="eastAsia"/>
        </w:rPr>
        <w:t>人民陳訴官署之違法或不當處分，在未經「監察院」決定以前，其原處分不失其效力。但「監察院」認為必要或因原告之請求，得先呈由國民政府或咨由該管最高級行政官署轉令停止其執行。</w:t>
      </w:r>
    </w:p>
    <w:p w:rsidR="0004289F" w:rsidRPr="00A66D33" w:rsidRDefault="0004289F" w:rsidP="000D2A39">
      <w:pPr>
        <w:pStyle w:val="5"/>
      </w:pPr>
      <w:r w:rsidRPr="00A66D33">
        <w:rPr>
          <w:rFonts w:hint="eastAsia"/>
        </w:rPr>
        <w:t>「監察院」發現各級官吏有犯罪行為時，得不待人民之控告，逕以職權檢舉之，並於必要時得發逮捕狀逮捕之。</w:t>
      </w:r>
    </w:p>
    <w:p w:rsidR="0004289F" w:rsidRPr="00A66D33" w:rsidRDefault="0004289F" w:rsidP="000D2A39">
      <w:pPr>
        <w:pStyle w:val="5"/>
      </w:pPr>
      <w:r w:rsidRPr="00A66D33">
        <w:rPr>
          <w:rFonts w:hint="eastAsia"/>
        </w:rPr>
        <w:t>「監察院」收受人民控告官吏犯罪訴狀，經審查後，除認為不應受理予以駁回外，其認為應受理者，應即以嚴密之方法從事偵查，並於必要時，發逮捕狀逮捕之。</w:t>
      </w:r>
    </w:p>
    <w:p w:rsidR="0004289F" w:rsidRPr="00A66D33" w:rsidRDefault="0004289F" w:rsidP="000D2A39">
      <w:pPr>
        <w:pStyle w:val="5"/>
      </w:pPr>
      <w:r w:rsidRPr="00A66D33">
        <w:rPr>
          <w:rFonts w:hint="eastAsia"/>
        </w:rPr>
        <w:t>「監察院」對於官吏之犯罪偵查完畢後，應即開始預審，除認為證據不充分，宣告免訴外，其罪證確鑿者，應即於預審終結後3日內，依《起訴條例》之規定，起訴於「懲吏院」。</w:t>
      </w:r>
    </w:p>
    <w:p w:rsidR="000D2A39" w:rsidRPr="00A66D33" w:rsidRDefault="004D3BFF" w:rsidP="000D2A39">
      <w:pPr>
        <w:pStyle w:val="4"/>
      </w:pPr>
      <w:bookmarkStart w:id="2" w:name="_Toc524895648"/>
      <w:bookmarkStart w:id="3" w:name="_Toc524896194"/>
      <w:bookmarkStart w:id="4" w:name="_Toc524896224"/>
      <w:bookmarkStart w:id="5" w:name="_Toc524902734"/>
      <w:bookmarkStart w:id="6" w:name="_Toc525066148"/>
      <w:bookmarkStart w:id="7" w:name="_Toc525070839"/>
      <w:bookmarkStart w:id="8" w:name="_Toc525938379"/>
      <w:bookmarkStart w:id="9" w:name="_Toc525939227"/>
      <w:bookmarkStart w:id="10" w:name="_Toc525939732"/>
      <w:bookmarkStart w:id="11" w:name="_Toc529218272"/>
      <w:bookmarkEnd w:id="1"/>
      <w:r w:rsidRPr="00A66D33">
        <w:rPr>
          <w:rFonts w:hint="eastAsia"/>
        </w:rPr>
        <w:lastRenderedPageBreak/>
        <w:t>34年「國民</w:t>
      </w:r>
      <w:r w:rsidRPr="00A66D33">
        <w:rPr>
          <w:rFonts w:hint="eastAsia"/>
          <w:u w:val="single"/>
        </w:rPr>
        <w:t>參政</w:t>
      </w:r>
      <w:r w:rsidRPr="00A66D33">
        <w:rPr>
          <w:rFonts w:hint="eastAsia"/>
        </w:rPr>
        <w:t>會憲政實施協進會」之32項意見，其中對25年《五五憲草》中，涉及</w:t>
      </w:r>
      <w:r w:rsidRPr="00A66D33">
        <w:rPr>
          <w:rFonts w:hint="eastAsia"/>
          <w:iCs/>
        </w:rPr>
        <w:t>監察院</w:t>
      </w:r>
      <w:r w:rsidRPr="00A66D33">
        <w:rPr>
          <w:rFonts w:hint="eastAsia"/>
        </w:rPr>
        <w:t>部分</w:t>
      </w:r>
      <w:r w:rsidR="000D2A39" w:rsidRPr="00A66D33">
        <w:rPr>
          <w:rFonts w:hint="eastAsia"/>
        </w:rPr>
        <w:t>：</w:t>
      </w:r>
    </w:p>
    <w:p w:rsidR="004D3BFF" w:rsidRPr="00A66D33" w:rsidRDefault="004D3BFF" w:rsidP="000D2A39">
      <w:pPr>
        <w:pStyle w:val="5"/>
      </w:pPr>
      <w:r w:rsidRPr="00A66D33">
        <w:rPr>
          <w:rFonts w:hint="eastAsia"/>
        </w:rPr>
        <w:t>第8項：「總統制下之行政院院長，對總統負責，自應由總統任免。</w:t>
      </w:r>
      <w:r w:rsidRPr="00A66D33">
        <w:rPr>
          <w:rFonts w:hint="eastAsia"/>
          <w:iCs/>
        </w:rPr>
        <w:t>立法、監察</w:t>
      </w:r>
      <w:r w:rsidRPr="00A66D33">
        <w:rPr>
          <w:rFonts w:hint="eastAsia"/>
        </w:rPr>
        <w:t>二院職權，在一般憲政國家，屬於國會。五權政治下雖移入治權，其院長仍對國民大會負責，故宜由國民大會選任。司法、考試偏重技術，與政權關係較鮮，故由總統任命，而對國民大會負責。憲草有關五院院長任免各條，皆維持原案」。</w:t>
      </w:r>
    </w:p>
    <w:p w:rsidR="004D3BFF" w:rsidRPr="00A66D33" w:rsidRDefault="004D3BFF" w:rsidP="000D2A39">
      <w:pPr>
        <w:pStyle w:val="5"/>
        <w:rPr>
          <w:b/>
        </w:rPr>
      </w:pPr>
      <w:r w:rsidRPr="00A66D33">
        <w:rPr>
          <w:rFonts w:hint="eastAsia"/>
        </w:rPr>
        <w:t>第15項：「監察院之職權，除</w:t>
      </w:r>
      <w:r w:rsidRPr="00A66D33">
        <w:rPr>
          <w:rFonts w:hint="eastAsia"/>
          <w:bCs w:val="0"/>
        </w:rPr>
        <w:t>『彈劾、審計』</w:t>
      </w:r>
      <w:r w:rsidRPr="00A66D33">
        <w:rPr>
          <w:rFonts w:hint="eastAsia"/>
        </w:rPr>
        <w:t>外，應增列</w:t>
      </w:r>
      <w:r w:rsidRPr="00A66D33">
        <w:rPr>
          <w:rFonts w:hint="eastAsia"/>
          <w:bCs w:val="0"/>
        </w:rPr>
        <w:t>『糾舉』、『考核』</w:t>
      </w:r>
      <w:r w:rsidRPr="00A66D33">
        <w:rPr>
          <w:rFonts w:hint="eastAsia"/>
        </w:rPr>
        <w:t>二權；</w:t>
      </w:r>
      <w:r w:rsidRPr="00A66D33">
        <w:rPr>
          <w:rFonts w:hint="eastAsia"/>
          <w:b/>
        </w:rPr>
        <w:t>又憲草原定之懲戒權應移入司法院（草案第87條規定彈劾、懲戒及審計權）」。</w:t>
      </w:r>
    </w:p>
    <w:p w:rsidR="004D3BFF" w:rsidRPr="00A66D33" w:rsidRDefault="004D3BFF" w:rsidP="000D2A39">
      <w:pPr>
        <w:pStyle w:val="5"/>
        <w:rPr>
          <w:b/>
        </w:rPr>
      </w:pPr>
      <w:r w:rsidRPr="00A66D33">
        <w:rPr>
          <w:rFonts w:hint="eastAsia"/>
          <w:b/>
        </w:rPr>
        <w:t>第30項：「憲法第140條第2項『法律與憲法有無牴觸，由監察院於法律施行後6個月內，提請司法院解釋，其詳以法律定之。』刪。第142條修改為『憲法之解釋，由司法院依法組織憲法解釋委員會為之』」</w:t>
      </w:r>
      <w:r w:rsidR="000D2A39" w:rsidRPr="00A66D33">
        <w:rPr>
          <w:rFonts w:hint="eastAsia"/>
          <w:b/>
        </w:rPr>
        <w:t>。</w:t>
      </w:r>
    </w:p>
    <w:p w:rsidR="003D4057" w:rsidRPr="00A66D33" w:rsidRDefault="003D4057" w:rsidP="003D4057">
      <w:pPr>
        <w:pStyle w:val="4"/>
        <w:rPr>
          <w:bCs/>
        </w:rPr>
      </w:pPr>
      <w:r w:rsidRPr="00A66D33">
        <w:rPr>
          <w:rFonts w:hint="eastAsia"/>
        </w:rPr>
        <w:t>35年11月30日，「制憲國民大會」第5次大會通過《中華民國憲法草案審查辦法》</w:t>
      </w:r>
      <w:r w:rsidR="000D2A39" w:rsidRPr="00A66D33">
        <w:rPr>
          <w:rFonts w:hint="eastAsia"/>
        </w:rPr>
        <w:t>，</w:t>
      </w:r>
      <w:r w:rsidRPr="00A66D33">
        <w:rPr>
          <w:rFonts w:hint="eastAsia"/>
        </w:rPr>
        <w:t>就憲法草案審查，分設9組審查委員會審查</w:t>
      </w:r>
      <w:r w:rsidRPr="00A66D33">
        <w:rPr>
          <w:rFonts w:hint="eastAsia"/>
          <w:bCs/>
        </w:rPr>
        <w:t>35年中華民國憲法草案《政協憲草》</w:t>
      </w:r>
      <w:r w:rsidRPr="00A66D33">
        <w:rPr>
          <w:rFonts w:hint="eastAsia"/>
        </w:rPr>
        <w:t>，其中「第4審查委員會」審查司法、考試及</w:t>
      </w:r>
      <w:r w:rsidRPr="00A66D33">
        <w:rPr>
          <w:rFonts w:hint="eastAsia"/>
          <w:iCs/>
        </w:rPr>
        <w:t>監察</w:t>
      </w:r>
      <w:r w:rsidRPr="00A66D33">
        <w:rPr>
          <w:rFonts w:hint="eastAsia"/>
        </w:rPr>
        <w:t>。「第4審查委員會」自12月6日至13日止，共開8次審查會（各小組分別集會1至2次），於12月18日，「制憲國民大會」第10次會議，</w:t>
      </w:r>
      <w:r w:rsidRPr="00A66D33">
        <w:rPr>
          <w:rStyle w:val="aff"/>
          <w:rFonts w:hAnsi="標楷體"/>
          <w:sz w:val="28"/>
        </w:rPr>
        <w:footnoteReference w:id="39"/>
      </w:r>
      <w:r w:rsidRPr="00A66D33">
        <w:rPr>
          <w:rFonts w:hint="eastAsia"/>
        </w:rPr>
        <w:t>提出審查報告。</w:t>
      </w:r>
      <w:r w:rsidRPr="00A66D33">
        <w:rPr>
          <w:rFonts w:hint="eastAsia"/>
          <w:iCs/>
        </w:rPr>
        <w:t>關於第9章「監察」者：</w:t>
      </w:r>
      <w:r w:rsidRPr="00A66D33">
        <w:rPr>
          <w:rStyle w:val="aff"/>
          <w:rFonts w:hAnsi="標楷體"/>
          <w:iCs/>
          <w:sz w:val="28"/>
        </w:rPr>
        <w:footnoteReference w:id="40"/>
      </w:r>
    </w:p>
    <w:p w:rsidR="003D4057" w:rsidRPr="00A66D33" w:rsidRDefault="003D4057" w:rsidP="003D4057">
      <w:pPr>
        <w:pStyle w:val="5"/>
        <w:rPr>
          <w:b/>
        </w:rPr>
      </w:pPr>
      <w:r w:rsidRPr="00A66D33">
        <w:rPr>
          <w:rFonts w:hint="eastAsia"/>
        </w:rPr>
        <w:t>「同意權」</w:t>
      </w:r>
      <w:r w:rsidRPr="00A66D33">
        <w:rPr>
          <w:rStyle w:val="aff"/>
          <w:rFonts w:hAnsi="標楷體"/>
          <w:iCs/>
          <w:sz w:val="28"/>
        </w:rPr>
        <w:footnoteReference w:id="41"/>
      </w:r>
      <w:r w:rsidR="000D2A39" w:rsidRPr="00A66D33">
        <w:rPr>
          <w:rFonts w:hint="eastAsia"/>
          <w:vertAlign w:val="superscript"/>
        </w:rPr>
        <w:t>、</w:t>
      </w:r>
      <w:r w:rsidRPr="00A66D33">
        <w:rPr>
          <w:rStyle w:val="aff"/>
          <w:rFonts w:hAnsi="標楷體"/>
          <w:iCs/>
          <w:sz w:val="28"/>
        </w:rPr>
        <w:footnoteReference w:id="42"/>
      </w:r>
      <w:r w:rsidR="000D2A39" w:rsidRPr="00A66D33">
        <w:rPr>
          <w:rFonts w:hint="eastAsia"/>
          <w:vertAlign w:val="superscript"/>
        </w:rPr>
        <w:t>、</w:t>
      </w:r>
      <w:r w:rsidRPr="00A66D33">
        <w:rPr>
          <w:rStyle w:val="aff"/>
          <w:rFonts w:hAnsi="標楷體"/>
          <w:iCs/>
          <w:sz w:val="28"/>
        </w:rPr>
        <w:footnoteReference w:id="43"/>
      </w:r>
      <w:r w:rsidRPr="00A66D33">
        <w:rPr>
          <w:rFonts w:hint="eastAsia"/>
        </w:rPr>
        <w:t>問題：本會根據代表提案，刪</w:t>
      </w:r>
      <w:r w:rsidRPr="00A66D33">
        <w:rPr>
          <w:rFonts w:hint="eastAsia"/>
        </w:rPr>
        <w:lastRenderedPageBreak/>
        <w:t>去監察院行使「同意權」，大多數審查委員僉主「同意權」應由立法院行使，以使（一）憲法中規定「同意權」，由一個機關（立法院）行使，而不應由兩個機關（立法院、監察院）行使。（二）</w:t>
      </w:r>
      <w:r w:rsidRPr="00A66D33">
        <w:rPr>
          <w:rFonts w:hint="eastAsia"/>
          <w:b/>
        </w:rPr>
        <w:t>監察院之政治性可以減少，維持監察機關之超然性。但為尊重少數意見起見，「同意權」之行使，究應屬於監察院抑或立法院，移請綜合審查委員會審查。</w:t>
      </w:r>
    </w:p>
    <w:p w:rsidR="003D4057" w:rsidRPr="00A66D33" w:rsidRDefault="003D4057" w:rsidP="003D4057">
      <w:pPr>
        <w:pStyle w:val="5"/>
      </w:pPr>
      <w:r w:rsidRPr="00A66D33">
        <w:rPr>
          <w:rFonts w:hint="eastAsia"/>
        </w:rPr>
        <w:t>監察委員獨立行使「彈劾權」</w:t>
      </w:r>
      <w:r w:rsidRPr="00A66D33">
        <w:rPr>
          <w:rStyle w:val="aff"/>
          <w:rFonts w:hAnsi="標楷體"/>
          <w:iCs/>
          <w:sz w:val="28"/>
        </w:rPr>
        <w:footnoteReference w:id="44"/>
      </w:r>
      <w:r w:rsidR="000D2A39" w:rsidRPr="00A66D33">
        <w:rPr>
          <w:rFonts w:hint="eastAsia"/>
          <w:vertAlign w:val="superscript"/>
        </w:rPr>
        <w:t>、</w:t>
      </w:r>
      <w:r w:rsidRPr="00A66D33">
        <w:rPr>
          <w:rStyle w:val="aff"/>
          <w:rFonts w:hAnsi="標楷體"/>
          <w:iCs/>
          <w:sz w:val="28"/>
        </w:rPr>
        <w:footnoteReference w:id="45"/>
      </w:r>
      <w:r w:rsidR="000D2A39" w:rsidRPr="00A66D33">
        <w:rPr>
          <w:rFonts w:hint="eastAsia"/>
          <w:vertAlign w:val="superscript"/>
        </w:rPr>
        <w:t>、</w:t>
      </w:r>
      <w:r w:rsidRPr="00A66D33">
        <w:rPr>
          <w:rStyle w:val="aff"/>
          <w:rFonts w:hAnsi="標楷體"/>
          <w:iCs/>
          <w:sz w:val="28"/>
        </w:rPr>
        <w:footnoteReference w:id="46"/>
      </w:r>
      <w:r w:rsidR="000D2A39" w:rsidRPr="00A66D33">
        <w:rPr>
          <w:rFonts w:hint="eastAsia"/>
          <w:vertAlign w:val="superscript"/>
        </w:rPr>
        <w:t>、</w:t>
      </w:r>
      <w:r w:rsidRPr="00A66D33">
        <w:rPr>
          <w:rStyle w:val="aff"/>
          <w:rFonts w:hAnsi="標楷體"/>
          <w:iCs/>
          <w:sz w:val="28"/>
        </w:rPr>
        <w:footnoteReference w:id="47"/>
      </w:r>
      <w:r w:rsidRPr="00A66D33">
        <w:rPr>
          <w:rFonts w:hint="eastAsia"/>
        </w:rPr>
        <w:t>問題：原</w:t>
      </w:r>
      <w:r w:rsidRPr="00A66D33">
        <w:rPr>
          <w:rFonts w:hint="eastAsia"/>
        </w:rPr>
        <w:lastRenderedPageBreak/>
        <w:t>草案規定監察委員提出彈劾案，須有3人以上之提議，但監察委員應保有獨立行使彈劾權，故修正為1人以上之提議，而其審查及決定之人數，仍如原草案所規定。</w:t>
      </w:r>
    </w:p>
    <w:p w:rsidR="003D4057" w:rsidRPr="00A66D33" w:rsidRDefault="003D4057" w:rsidP="003D4057">
      <w:pPr>
        <w:pStyle w:val="5"/>
      </w:pPr>
      <w:r w:rsidRPr="00A66D33">
        <w:rPr>
          <w:rFonts w:hint="eastAsia"/>
        </w:rPr>
        <w:t>「糾舉權」</w:t>
      </w:r>
      <w:r w:rsidRPr="00A66D33">
        <w:rPr>
          <w:rStyle w:val="aff"/>
          <w:rFonts w:hAnsi="標楷體"/>
          <w:bCs w:val="0"/>
          <w:iCs/>
          <w:sz w:val="28"/>
        </w:rPr>
        <w:footnoteReference w:id="48"/>
      </w:r>
      <w:r w:rsidR="000D2A39" w:rsidRPr="00A66D33">
        <w:rPr>
          <w:rFonts w:hint="eastAsia"/>
          <w:vertAlign w:val="superscript"/>
        </w:rPr>
        <w:t>、</w:t>
      </w:r>
      <w:r w:rsidRPr="00A66D33">
        <w:rPr>
          <w:rStyle w:val="aff"/>
          <w:rFonts w:hAnsi="標楷體"/>
          <w:iCs/>
          <w:sz w:val="28"/>
        </w:rPr>
        <w:footnoteReference w:id="49"/>
      </w:r>
      <w:r w:rsidRPr="00A66D33">
        <w:rPr>
          <w:rFonts w:hint="eastAsia"/>
        </w:rPr>
        <w:t>增列。</w:t>
      </w:r>
    </w:p>
    <w:p w:rsidR="003D4057" w:rsidRPr="00A66D33" w:rsidRDefault="003D4057" w:rsidP="003D4057">
      <w:pPr>
        <w:pStyle w:val="5"/>
      </w:pPr>
      <w:r w:rsidRPr="00A66D33">
        <w:rPr>
          <w:rFonts w:hint="eastAsia"/>
        </w:rPr>
        <w:t>「糾正案」</w:t>
      </w:r>
      <w:r w:rsidRPr="00A66D33">
        <w:rPr>
          <w:rStyle w:val="aff"/>
          <w:rFonts w:hAnsi="標楷體"/>
          <w:bCs w:val="0"/>
          <w:iCs/>
          <w:sz w:val="28"/>
        </w:rPr>
        <w:footnoteReference w:id="50"/>
      </w:r>
      <w:r w:rsidRPr="00A66D33">
        <w:rPr>
          <w:rFonts w:hint="eastAsia"/>
        </w:rPr>
        <w:t>問題</w:t>
      </w:r>
      <w:r w:rsidR="000D2A39" w:rsidRPr="00A66D33">
        <w:rPr>
          <w:rFonts w:hint="eastAsia"/>
        </w:rPr>
        <w:t>。</w:t>
      </w:r>
    </w:p>
    <w:p w:rsidR="003D4057" w:rsidRPr="00A66D33" w:rsidRDefault="003D4057" w:rsidP="003D4057">
      <w:pPr>
        <w:pStyle w:val="5"/>
      </w:pPr>
      <w:r w:rsidRPr="00A66D33">
        <w:rPr>
          <w:rFonts w:hint="eastAsia"/>
        </w:rPr>
        <w:lastRenderedPageBreak/>
        <w:t>「懲戒權」</w:t>
      </w:r>
      <w:r w:rsidRPr="00A66D33">
        <w:rPr>
          <w:rStyle w:val="aff"/>
          <w:rFonts w:hAnsi="標楷體"/>
          <w:iCs/>
          <w:sz w:val="28"/>
        </w:rPr>
        <w:footnoteReference w:id="51"/>
      </w:r>
      <w:r w:rsidR="000D2A39" w:rsidRPr="00A66D33">
        <w:rPr>
          <w:rFonts w:hint="eastAsia"/>
          <w:vertAlign w:val="superscript"/>
        </w:rPr>
        <w:t>、</w:t>
      </w:r>
      <w:r w:rsidRPr="00A66D33">
        <w:rPr>
          <w:rStyle w:val="aff"/>
          <w:rFonts w:hAnsi="標楷體"/>
          <w:iCs/>
          <w:sz w:val="28"/>
        </w:rPr>
        <w:footnoteReference w:id="52"/>
      </w:r>
      <w:r w:rsidR="000D2A39" w:rsidRPr="00A66D33">
        <w:rPr>
          <w:rFonts w:hint="eastAsia"/>
          <w:vertAlign w:val="superscript"/>
        </w:rPr>
        <w:t>、</w:t>
      </w:r>
      <w:r w:rsidRPr="00A66D33">
        <w:rPr>
          <w:rStyle w:val="aff"/>
          <w:rFonts w:hAnsi="標楷體"/>
          <w:iCs/>
          <w:sz w:val="28"/>
        </w:rPr>
        <w:footnoteReference w:id="53"/>
      </w:r>
      <w:r w:rsidRPr="00A66D33">
        <w:rPr>
          <w:rFonts w:hint="eastAsia"/>
        </w:rPr>
        <w:t>問題：本會對於「懲戒權」問</w:t>
      </w:r>
      <w:r w:rsidRPr="00A66D33">
        <w:rPr>
          <w:rFonts w:hint="eastAsia"/>
        </w:rPr>
        <w:lastRenderedPageBreak/>
        <w:t>題形成兩派，論辯至為熱烈，堅持不易一致，為尊重少數意見，經將「懲戒權」究應屬於監察院抑或司法院，移請綜合審查委員會決定。</w:t>
      </w:r>
    </w:p>
    <w:p w:rsidR="002B0180" w:rsidRPr="00A66D33" w:rsidRDefault="002B0180" w:rsidP="002B0180">
      <w:pPr>
        <w:pStyle w:val="4"/>
        <w:rPr>
          <w:rFonts w:hAnsi="標楷體"/>
        </w:rPr>
      </w:pPr>
      <w:r w:rsidRPr="00A66D33">
        <w:rPr>
          <w:rFonts w:hint="eastAsia"/>
        </w:rPr>
        <w:t>是則</w:t>
      </w:r>
      <w:r w:rsidRPr="00A66D33">
        <w:rPr>
          <w:rFonts w:hAnsi="標楷體" w:hint="eastAsia"/>
        </w:rPr>
        <w:t>，制憲前監察權制度，調查權即為監察權之核心事項從未變動，迄至憲法</w:t>
      </w:r>
      <w:r w:rsidR="00A377D2" w:rsidRPr="00A66D33">
        <w:rPr>
          <w:rFonts w:hAnsi="標楷體" w:hint="eastAsia"/>
        </w:rPr>
        <w:t>制定</w:t>
      </w:r>
      <w:r w:rsidRPr="00A66D33">
        <w:rPr>
          <w:rFonts w:hAnsi="標楷體" w:hint="eastAsia"/>
        </w:rPr>
        <w:t>時，固全貌</w:t>
      </w:r>
      <w:r w:rsidR="00105898" w:rsidRPr="00A66D33">
        <w:rPr>
          <w:rFonts w:hAnsi="標楷體" w:hint="eastAsia"/>
        </w:rPr>
        <w:t>有異於</w:t>
      </w:r>
      <w:r w:rsidRPr="00A66D33">
        <w:rPr>
          <w:rFonts w:hAnsi="標楷體" w:hint="eastAsia"/>
        </w:rPr>
        <w:t>五五憲草，而將彈劾權與懲戒權分立，符合民主法治國家之基本要求，然就調查權之行使，憲法特別</w:t>
      </w:r>
      <w:r w:rsidR="00A377D2" w:rsidRPr="00A66D33">
        <w:rPr>
          <w:rFonts w:hAnsi="標楷體" w:hint="eastAsia"/>
        </w:rPr>
        <w:t>制定</w:t>
      </w:r>
      <w:r w:rsidRPr="00A66D33">
        <w:rPr>
          <w:rFonts w:hAnsi="標楷體" w:hint="eastAsia"/>
        </w:rPr>
        <w:t>第95條與第96條之保障規定，不同於其他各憲法機關，其調查權入憲在憲法體制下自有</w:t>
      </w:r>
      <w:r w:rsidR="00C02781" w:rsidRPr="00A66D33">
        <w:rPr>
          <w:rFonts w:hAnsi="標楷體" w:hint="eastAsia"/>
        </w:rPr>
        <w:t>特殊</w:t>
      </w:r>
      <w:r w:rsidRPr="00A66D33">
        <w:rPr>
          <w:rFonts w:hAnsi="標楷體" w:hint="eastAsia"/>
        </w:rPr>
        <w:t>意義，亦即昭告監察權對於其他各權之監督關係，亦同時</w:t>
      </w:r>
      <w:r w:rsidR="00105898" w:rsidRPr="00A66D33">
        <w:rPr>
          <w:rFonts w:hAnsi="標楷體" w:hint="eastAsia"/>
        </w:rPr>
        <w:t>透過</w:t>
      </w:r>
      <w:r w:rsidR="00C02781" w:rsidRPr="00A66D33">
        <w:rPr>
          <w:rFonts w:hAnsi="標楷體" w:hint="eastAsia"/>
        </w:rPr>
        <w:t>監察</w:t>
      </w:r>
      <w:r w:rsidR="00105898" w:rsidRPr="00A66D33">
        <w:rPr>
          <w:rFonts w:hAnsi="標楷體" w:hint="eastAsia"/>
        </w:rPr>
        <w:t>調查權保障</w:t>
      </w:r>
      <w:r w:rsidR="00C02781" w:rsidRPr="00A66D33">
        <w:rPr>
          <w:rFonts w:hAnsi="標楷體" w:hint="eastAsia"/>
        </w:rPr>
        <w:t>人民之</w:t>
      </w:r>
      <w:r w:rsidR="00105898" w:rsidRPr="00A66D33">
        <w:rPr>
          <w:rFonts w:hAnsi="標楷體" w:hint="eastAsia"/>
        </w:rPr>
        <w:t>基本權利</w:t>
      </w:r>
      <w:r w:rsidRPr="00A66D33">
        <w:rPr>
          <w:rFonts w:hAnsi="標楷體" w:hint="eastAsia"/>
        </w:rPr>
        <w:t>。</w:t>
      </w:r>
    </w:p>
    <w:p w:rsidR="004D3BFF" w:rsidRPr="00A66D33" w:rsidRDefault="00490CF5" w:rsidP="00490CF5">
      <w:pPr>
        <w:pStyle w:val="3"/>
        <w:rPr>
          <w:rFonts w:hAnsi="標楷體"/>
          <w:b/>
          <w:szCs w:val="32"/>
        </w:rPr>
      </w:pPr>
      <w:r w:rsidRPr="00A66D33">
        <w:rPr>
          <w:rFonts w:hAnsi="標楷體" w:hint="eastAsia"/>
          <w:b/>
          <w:szCs w:val="32"/>
        </w:rPr>
        <w:t>修憲後監察院儘管喪失國會功能</w:t>
      </w:r>
      <w:r w:rsidR="00EC4BB8" w:rsidRPr="00A66D33">
        <w:rPr>
          <w:rFonts w:hAnsi="標楷體" w:hint="eastAsia"/>
          <w:b/>
          <w:szCs w:val="32"/>
        </w:rPr>
        <w:t>，取消同意權之規定，但</w:t>
      </w:r>
      <w:r w:rsidRPr="00A66D33">
        <w:rPr>
          <w:rFonts w:hAnsi="標楷體" w:hint="eastAsia"/>
          <w:b/>
          <w:szCs w:val="32"/>
        </w:rPr>
        <w:t>原有職權並未改變</w:t>
      </w:r>
      <w:r w:rsidR="00EC4BB8" w:rsidRPr="00A66D33">
        <w:rPr>
          <w:rFonts w:hAnsi="標楷體" w:hint="eastAsia"/>
          <w:b/>
          <w:szCs w:val="32"/>
        </w:rPr>
        <w:t>，監察院為最高監察機關，就各機關及人員之違法與失職，為合法性監督與合目的性監督，在為合法性監督時，</w:t>
      </w:r>
      <w:r w:rsidR="00AB33FA" w:rsidRPr="00A66D33">
        <w:rPr>
          <w:rFonts w:hAnsi="標楷體" w:hint="eastAsia"/>
          <w:b/>
          <w:szCs w:val="32"/>
        </w:rPr>
        <w:t>相較於司法權因無庸做出</w:t>
      </w:r>
      <w:r w:rsidR="00522C49" w:rsidRPr="00A66D33">
        <w:rPr>
          <w:rFonts w:hAnsi="標楷體" w:hint="eastAsia"/>
          <w:b/>
          <w:szCs w:val="32"/>
        </w:rPr>
        <w:t>具有法拘束力之終局決定</w:t>
      </w:r>
      <w:r w:rsidR="004702F0" w:rsidRPr="00A66D33">
        <w:rPr>
          <w:rFonts w:hAnsi="標楷體" w:hint="eastAsia"/>
          <w:b/>
          <w:szCs w:val="32"/>
        </w:rPr>
        <w:t>，</w:t>
      </w:r>
      <w:r w:rsidR="005E7AFA" w:rsidRPr="00A66D33">
        <w:rPr>
          <w:rFonts w:hAnsi="標楷體" w:hint="eastAsia"/>
          <w:b/>
          <w:szCs w:val="32"/>
        </w:rPr>
        <w:t>從而</w:t>
      </w:r>
      <w:r w:rsidR="004702F0" w:rsidRPr="00A66D33">
        <w:rPr>
          <w:rFonts w:hAnsi="標楷體" w:hint="eastAsia"/>
          <w:b/>
          <w:szCs w:val="32"/>
        </w:rPr>
        <w:t>監察院行使調查權所為之違憲審查權</w:t>
      </w:r>
      <w:r w:rsidR="005E7AFA" w:rsidRPr="00A66D33">
        <w:rPr>
          <w:rFonts w:hAnsi="標楷體" w:hint="eastAsia"/>
          <w:b/>
          <w:szCs w:val="32"/>
        </w:rPr>
        <w:t>自</w:t>
      </w:r>
      <w:r w:rsidR="004702F0" w:rsidRPr="00A66D33">
        <w:rPr>
          <w:rFonts w:hAnsi="標楷體" w:hint="eastAsia"/>
          <w:b/>
          <w:szCs w:val="32"/>
        </w:rPr>
        <w:t>無侵害任何憲法權力機關之核心功能</w:t>
      </w:r>
      <w:r w:rsidR="00105898" w:rsidRPr="00A66D33">
        <w:rPr>
          <w:rFonts w:hAnsi="標楷體" w:hint="eastAsia"/>
          <w:b/>
          <w:szCs w:val="32"/>
        </w:rPr>
        <w:t>之虞</w:t>
      </w:r>
      <w:r w:rsidR="004702F0" w:rsidRPr="00A66D33">
        <w:rPr>
          <w:rFonts w:hAnsi="標楷體" w:hint="eastAsia"/>
          <w:b/>
          <w:szCs w:val="32"/>
        </w:rPr>
        <w:t>，</w:t>
      </w:r>
      <w:r w:rsidR="00A94D1C" w:rsidRPr="00A66D33">
        <w:rPr>
          <w:rFonts w:hAnsi="標楷體" w:hint="eastAsia"/>
          <w:b/>
          <w:szCs w:val="32"/>
        </w:rPr>
        <w:t>故</w:t>
      </w:r>
      <w:r w:rsidR="000D44CA" w:rsidRPr="00A66D33">
        <w:rPr>
          <w:rFonts w:hAnsi="標楷體" w:hint="eastAsia"/>
          <w:b/>
          <w:szCs w:val="32"/>
        </w:rPr>
        <w:t>無</w:t>
      </w:r>
      <w:r w:rsidR="004702F0" w:rsidRPr="00A66D33">
        <w:rPr>
          <w:rFonts w:hAnsi="標楷體" w:hint="eastAsia"/>
          <w:b/>
          <w:szCs w:val="32"/>
        </w:rPr>
        <w:t>違反權力分立原則。</w:t>
      </w:r>
    </w:p>
    <w:p w:rsidR="00490CF5" w:rsidRPr="00A66D33" w:rsidRDefault="00775293" w:rsidP="00EC4BB8">
      <w:pPr>
        <w:pStyle w:val="4"/>
      </w:pPr>
      <w:r w:rsidRPr="00A66D33">
        <w:rPr>
          <w:rFonts w:hint="eastAsia"/>
        </w:rPr>
        <w:t>司法院</w:t>
      </w:r>
      <w:r w:rsidR="00490CF5" w:rsidRPr="00A66D33">
        <w:rPr>
          <w:rFonts w:hint="eastAsia"/>
        </w:rPr>
        <w:t>釋字第325號解釋稱，司法院釋字第</w:t>
      </w:r>
      <w:r w:rsidR="00EC4BB8" w:rsidRPr="00A66D33">
        <w:rPr>
          <w:rFonts w:hint="eastAsia"/>
        </w:rPr>
        <w:t>76</w:t>
      </w:r>
      <w:r w:rsidR="00490CF5" w:rsidRPr="00A66D33">
        <w:rPr>
          <w:rFonts w:hint="eastAsia"/>
        </w:rPr>
        <w:t>號解釋認監察院與其他中央民意機構共同相當於民主國家之國會，於憲法增修條文第</w:t>
      </w:r>
      <w:r w:rsidRPr="00A66D33">
        <w:rPr>
          <w:rFonts w:hint="eastAsia"/>
        </w:rPr>
        <w:t>15</w:t>
      </w:r>
      <w:r w:rsidR="00490CF5" w:rsidRPr="00A66D33">
        <w:rPr>
          <w:rFonts w:hint="eastAsia"/>
        </w:rPr>
        <w:t>條規定施行</w:t>
      </w:r>
      <w:r w:rsidR="00490CF5" w:rsidRPr="00A66D33">
        <w:rPr>
          <w:rFonts w:hint="eastAsia"/>
        </w:rPr>
        <w:lastRenderedPageBreak/>
        <w:t>後，監察院已非中央民意機構，其地位及職權亦有所變更，上開解釋自不再適用於監察院。</w:t>
      </w:r>
      <w:r w:rsidR="00490CF5" w:rsidRPr="00A66D33">
        <w:rPr>
          <w:rFonts w:hint="eastAsia"/>
          <w:b/>
        </w:rPr>
        <w:t>惟憲法之五院體制並未改變，原屬於監察院職權中之彈劾、糾舉、糾正權及為行使此等職權，依憲法第</w:t>
      </w:r>
      <w:r w:rsidR="008849F1" w:rsidRPr="00A66D33">
        <w:rPr>
          <w:rFonts w:hint="eastAsia"/>
          <w:b/>
        </w:rPr>
        <w:t>95</w:t>
      </w:r>
      <w:r w:rsidR="00490CF5" w:rsidRPr="00A66D33">
        <w:rPr>
          <w:rFonts w:hint="eastAsia"/>
          <w:b/>
        </w:rPr>
        <w:t>條、第</w:t>
      </w:r>
      <w:r w:rsidR="008849F1" w:rsidRPr="00A66D33">
        <w:rPr>
          <w:rFonts w:hint="eastAsia"/>
          <w:b/>
        </w:rPr>
        <w:t>96</w:t>
      </w:r>
      <w:r w:rsidR="00490CF5" w:rsidRPr="00A66D33">
        <w:rPr>
          <w:rFonts w:hint="eastAsia"/>
          <w:b/>
        </w:rPr>
        <w:t>條具有之調查權，憲法增修條文亦未修改，此項調查權仍應專由監察院行使。</w:t>
      </w:r>
      <w:r w:rsidR="00490CF5" w:rsidRPr="00A66D33">
        <w:rPr>
          <w:rFonts w:hint="eastAsia"/>
        </w:rPr>
        <w:t>立法院為行使憲法所賦予之職權，除依憲法第</w:t>
      </w:r>
      <w:r w:rsidR="00BE26EA" w:rsidRPr="00A66D33">
        <w:rPr>
          <w:rFonts w:hint="eastAsia"/>
        </w:rPr>
        <w:t>57</w:t>
      </w:r>
      <w:r w:rsidR="00490CF5" w:rsidRPr="00A66D33">
        <w:rPr>
          <w:rFonts w:hint="eastAsia"/>
        </w:rPr>
        <w:t>條第</w:t>
      </w:r>
      <w:r w:rsidR="00BE26EA" w:rsidRPr="00A66D33">
        <w:rPr>
          <w:rFonts w:hint="eastAsia"/>
        </w:rPr>
        <w:t>1</w:t>
      </w:r>
      <w:r w:rsidR="00490CF5" w:rsidRPr="00A66D33">
        <w:rPr>
          <w:rFonts w:hint="eastAsia"/>
        </w:rPr>
        <w:t>款及第</w:t>
      </w:r>
      <w:r w:rsidR="00BE26EA" w:rsidRPr="00A66D33">
        <w:rPr>
          <w:rFonts w:hint="eastAsia"/>
        </w:rPr>
        <w:t>67</w:t>
      </w:r>
      <w:r w:rsidR="00490CF5" w:rsidRPr="00A66D33">
        <w:rPr>
          <w:rFonts w:hint="eastAsia"/>
        </w:rPr>
        <w:t>條第</w:t>
      </w:r>
      <w:r w:rsidR="00BE26EA" w:rsidRPr="00A66D33">
        <w:rPr>
          <w:rFonts w:hint="eastAsia"/>
        </w:rPr>
        <w:t>2</w:t>
      </w:r>
      <w:r w:rsidR="00490CF5" w:rsidRPr="00A66D33">
        <w:rPr>
          <w:rFonts w:hint="eastAsia"/>
        </w:rPr>
        <w:t>項辦理外，得經院會或委員會之決議，要求有關機關就議案涉及事項提供參考資料，必要時並得經院會決議調閱文件原本，受要求之機關非依法律規定或其他正當理由不得拒絕。但國家機關獨立行使職權受憲法之保障者，如司法機關審理案件所表示之法律見解、考試機關對於應考人成績之評定、監察委員為糾彈或糾正與否之判斷，以及訴訟案件在裁判確定前就偵查、審判所為之處置及其卷證等，監察院對之行使調查權，本受有限制，基於同一理由，立法院之調閱文件，亦同受限制</w:t>
      </w:r>
      <w:r w:rsidR="00EC4BB8" w:rsidRPr="00A66D33">
        <w:rPr>
          <w:rFonts w:hint="eastAsia"/>
        </w:rPr>
        <w:t>等語</w:t>
      </w:r>
      <w:r w:rsidR="00490CF5" w:rsidRPr="00A66D33">
        <w:rPr>
          <w:rFonts w:hint="eastAsia"/>
        </w:rPr>
        <w:t>。</w:t>
      </w:r>
    </w:p>
    <w:p w:rsidR="009E773E" w:rsidRPr="00A66D33" w:rsidRDefault="00EC4BB8" w:rsidP="00BE26EA">
      <w:pPr>
        <w:pStyle w:val="4"/>
      </w:pPr>
      <w:bookmarkStart w:id="12" w:name="_Toc529222689"/>
      <w:bookmarkStart w:id="13" w:name="_Toc529223111"/>
      <w:bookmarkStart w:id="14" w:name="_Toc529223862"/>
      <w:bookmarkStart w:id="15" w:name="_Toc529228265"/>
      <w:bookmarkStart w:id="16" w:name="_Toc2400395"/>
      <w:bookmarkStart w:id="17" w:name="_Toc4316189"/>
      <w:bookmarkStart w:id="18" w:name="_Toc4473330"/>
      <w:bookmarkStart w:id="19" w:name="_Toc69556897"/>
      <w:bookmarkStart w:id="20" w:name="_Toc69556946"/>
      <w:bookmarkStart w:id="21" w:name="_Toc69609820"/>
      <w:bookmarkStart w:id="22" w:name="_Toc70241816"/>
      <w:bookmarkStart w:id="23" w:name="_Toc70242205"/>
      <w:bookmarkStart w:id="24" w:name="_Toc421794875"/>
      <w:bookmarkStart w:id="25" w:name="_Toc422834160"/>
      <w:r w:rsidRPr="00A66D33">
        <w:rPr>
          <w:rFonts w:hint="eastAsia"/>
        </w:rPr>
        <w:t>學者</w:t>
      </w:r>
      <w:r w:rsidR="009E773E" w:rsidRPr="00A66D33">
        <w:rPr>
          <w:rFonts w:hint="eastAsia"/>
        </w:rPr>
        <w:t>李建良</w:t>
      </w:r>
      <w:r w:rsidR="009E773E" w:rsidRPr="00A66D33">
        <w:rPr>
          <w:rStyle w:val="aff"/>
          <w:rFonts w:hAnsi="標楷體"/>
          <w:b/>
        </w:rPr>
        <w:footnoteReference w:id="54"/>
      </w:r>
      <w:r w:rsidRPr="00A66D33">
        <w:rPr>
          <w:rFonts w:hint="eastAsia"/>
        </w:rPr>
        <w:t>就</w:t>
      </w:r>
      <w:r w:rsidR="009E773E" w:rsidRPr="00A66D33">
        <w:rPr>
          <w:rFonts w:hint="eastAsia"/>
        </w:rPr>
        <w:t>行政裁量或行政判斷的監察審查問題</w:t>
      </w:r>
      <w:r w:rsidRPr="00A66D33">
        <w:rPr>
          <w:rFonts w:hint="eastAsia"/>
        </w:rPr>
        <w:t>認為</w:t>
      </w:r>
      <w:r w:rsidR="00BE26EA" w:rsidRPr="00A66D33">
        <w:rPr>
          <w:rFonts w:hint="eastAsia"/>
        </w:rPr>
        <w:t>：「</w:t>
      </w:r>
      <w:r w:rsidR="009E773E" w:rsidRPr="00A66D33">
        <w:rPr>
          <w:rFonts w:hint="eastAsia"/>
        </w:rPr>
        <w:t>修憲後，儘管監察院喪失了</w:t>
      </w:r>
      <w:r w:rsidR="00BE26EA" w:rsidRPr="00A66D33">
        <w:rPr>
          <w:rFonts w:hint="eastAsia"/>
        </w:rPr>
        <w:t>『</w:t>
      </w:r>
      <w:r w:rsidR="009E773E" w:rsidRPr="00A66D33">
        <w:rPr>
          <w:rFonts w:hint="eastAsia"/>
        </w:rPr>
        <w:t>國會</w:t>
      </w:r>
      <w:r w:rsidR="00BE26EA" w:rsidRPr="00A66D33">
        <w:rPr>
          <w:rFonts w:hint="eastAsia"/>
        </w:rPr>
        <w:t>』</w:t>
      </w:r>
      <w:r w:rsidR="009E773E" w:rsidRPr="00A66D33">
        <w:rPr>
          <w:rFonts w:hint="eastAsia"/>
        </w:rPr>
        <w:t>的屬性，卻未質變而成為司法機關。相對於各級法院(不包括大法官)，監察院具有</w:t>
      </w:r>
      <w:r w:rsidR="00BE26EA" w:rsidRPr="00A66D33">
        <w:rPr>
          <w:rFonts w:hint="eastAsia"/>
        </w:rPr>
        <w:t>『</w:t>
      </w:r>
      <w:r w:rsidR="009E773E" w:rsidRPr="00A66D33">
        <w:rPr>
          <w:rFonts w:hint="eastAsia"/>
        </w:rPr>
        <w:t>憲法機關</w:t>
      </w:r>
      <w:r w:rsidR="00BE26EA" w:rsidRPr="00A66D33">
        <w:rPr>
          <w:rFonts w:hint="eastAsia"/>
        </w:rPr>
        <w:t>』</w:t>
      </w:r>
      <w:r w:rsidR="009E773E" w:rsidRPr="00A66D33">
        <w:rPr>
          <w:rFonts w:hint="eastAsia"/>
        </w:rPr>
        <w:t>的地位，監察院除了透過彈劾權的行使扮演</w:t>
      </w:r>
      <w:r w:rsidR="00BE26EA" w:rsidRPr="00A66D33">
        <w:rPr>
          <w:rFonts w:hint="eastAsia"/>
        </w:rPr>
        <w:t>『</w:t>
      </w:r>
      <w:r w:rsidR="009E773E" w:rsidRPr="00A66D33">
        <w:rPr>
          <w:rFonts w:hint="eastAsia"/>
        </w:rPr>
        <w:t>公訴人</w:t>
      </w:r>
      <w:r w:rsidR="00BE26EA" w:rsidRPr="00A66D33">
        <w:rPr>
          <w:rFonts w:hint="eastAsia"/>
        </w:rPr>
        <w:t>』</w:t>
      </w:r>
      <w:r w:rsidR="009E773E" w:rsidRPr="00A66D33">
        <w:rPr>
          <w:rFonts w:hint="eastAsia"/>
        </w:rPr>
        <w:t>(向公懲會</w:t>
      </w:r>
      <w:r w:rsidR="00BE26EA" w:rsidRPr="00A66D33">
        <w:rPr>
          <w:rFonts w:hint="eastAsia"/>
        </w:rPr>
        <w:t>『</w:t>
      </w:r>
      <w:r w:rsidR="009E773E" w:rsidRPr="00A66D33">
        <w:rPr>
          <w:rFonts w:hint="eastAsia"/>
        </w:rPr>
        <w:t>起訴</w:t>
      </w:r>
      <w:r w:rsidR="00BE26EA" w:rsidRPr="00A66D33">
        <w:rPr>
          <w:rFonts w:hint="eastAsia"/>
        </w:rPr>
        <w:t>』</w:t>
      </w:r>
      <w:r w:rsidR="009E773E" w:rsidRPr="00A66D33">
        <w:rPr>
          <w:rFonts w:hint="eastAsia"/>
        </w:rPr>
        <w:t>公務員)的角色外，其對人的糾舉權及對事的糾正權，乃源自於憲法，相對於其他四院，完整而獨立的憲法權限，並無所謂的</w:t>
      </w:r>
      <w:r w:rsidR="00BE26EA" w:rsidRPr="00A66D33">
        <w:rPr>
          <w:rFonts w:hint="eastAsia"/>
        </w:rPr>
        <w:t>『</w:t>
      </w:r>
      <w:r w:rsidR="009E773E" w:rsidRPr="00A66D33">
        <w:rPr>
          <w:rFonts w:hint="eastAsia"/>
        </w:rPr>
        <w:t>依法監察</w:t>
      </w:r>
      <w:r w:rsidR="00BE26EA" w:rsidRPr="00A66D33">
        <w:rPr>
          <w:rFonts w:hint="eastAsia"/>
        </w:rPr>
        <w:t>』</w:t>
      </w:r>
      <w:r w:rsidR="009E773E" w:rsidRPr="00A66D33">
        <w:rPr>
          <w:rFonts w:hint="eastAsia"/>
        </w:rPr>
        <w:t>原則。由此行政裁量或行政判斷的監察審查，至少可作二項的衍生性思維：</w:t>
      </w:r>
      <w:r w:rsidR="009E773E" w:rsidRPr="00A66D33">
        <w:rPr>
          <w:rFonts w:hint="eastAsia"/>
        </w:rPr>
        <w:lastRenderedPageBreak/>
        <w:t>一、行政裁量或行政判斷經司法審查者，仍可再作監察審查。換言之，</w:t>
      </w:r>
      <w:r w:rsidR="009E773E" w:rsidRPr="00A66D33">
        <w:rPr>
          <w:rFonts w:hint="eastAsia"/>
          <w:b/>
        </w:rPr>
        <w:t>監察院不受法院裁判的拘束。二、監察院不受立法者指示(明示或默示)的拘束，對於法律是否、如何及能否賦予行政裁量及行政判斷，監察院享有比諸法院較廣的審查權</w:t>
      </w:r>
      <w:r w:rsidR="00BE26EA" w:rsidRPr="00A66D33">
        <w:rPr>
          <w:rFonts w:hint="eastAsia"/>
        </w:rPr>
        <w:t>……</w:t>
      </w:r>
      <w:r w:rsidR="009E773E" w:rsidRPr="00A66D33">
        <w:rPr>
          <w:rFonts w:hint="eastAsia"/>
        </w:rPr>
        <w:t>，監察院的糾舉權與糾正權對於行政裁量或行政判斷(不管是具體或是抽象)僅具</w:t>
      </w:r>
      <w:r w:rsidR="009E773E" w:rsidRPr="00A66D33">
        <w:rPr>
          <w:rFonts w:hint="eastAsia"/>
          <w:b/>
        </w:rPr>
        <w:t>有「促其改善</w:t>
      </w:r>
      <w:r w:rsidR="00BE26EA" w:rsidRPr="00A66D33">
        <w:rPr>
          <w:rFonts w:hint="eastAsia"/>
        </w:rPr>
        <w:t>』</w:t>
      </w:r>
      <w:r w:rsidR="009E773E" w:rsidRPr="00A66D33">
        <w:rPr>
          <w:rFonts w:hint="eastAsia"/>
          <w:b/>
        </w:rPr>
        <w:t>的作用，而非如司法裁判具有法的拘束效力。不過，也正因為監察決定不必面對作出(有法拘束力)決定的緊迫性，監察院對於行政裁量或行政判斷的法之控制，反而具有開放性與延展性，不致為了作出決斷而過於快速的阻斷各種論辯</w:t>
      </w:r>
      <w:r w:rsidR="009E773E" w:rsidRPr="00A66D33">
        <w:rPr>
          <w:rFonts w:hint="eastAsia"/>
        </w:rPr>
        <w:t>。在此意義下，監察院的運作，甚至可以蔚為一種公共論壇，成為思辯民主的場域。</w:t>
      </w:r>
      <w:r w:rsidR="009E773E" w:rsidRPr="00A66D33">
        <w:rPr>
          <w:rFonts w:hint="eastAsia"/>
          <w:b/>
          <w:u w:val="single"/>
        </w:rPr>
        <w:t>在一黨獨大、權力混同的今天，監察院若能扮演制衡的角色，發揮牽掣權力的功能，則台灣民主憲政的賡續成長，或許還有一絲絲的希望，而監察院的存在也才能取得一點點的正當性</w:t>
      </w:r>
      <w:r w:rsidR="009E773E" w:rsidRPr="00A66D33">
        <w:rPr>
          <w:rFonts w:hint="eastAsia"/>
          <w:u w:val="single"/>
        </w:rPr>
        <w:t>。</w:t>
      </w:r>
      <w:r w:rsidR="009E773E" w:rsidRPr="00A66D33">
        <w:rPr>
          <w:rFonts w:hint="eastAsia"/>
        </w:rPr>
        <w:t>」</w:t>
      </w:r>
      <w:r w:rsidR="009E773E" w:rsidRPr="00A66D33">
        <w:rPr>
          <w:rStyle w:val="aff"/>
          <w:rFonts w:hAnsi="標楷體"/>
        </w:rPr>
        <w:footnoteReference w:id="55"/>
      </w:r>
    </w:p>
    <w:p w:rsidR="002B0180" w:rsidRPr="00A66D33" w:rsidRDefault="004702F0" w:rsidP="009E773E">
      <w:pPr>
        <w:pStyle w:val="4"/>
      </w:pPr>
      <w:r w:rsidRPr="00A66D33">
        <w:rPr>
          <w:rFonts w:hint="eastAsia"/>
        </w:rPr>
        <w:t>又</w:t>
      </w:r>
      <w:r w:rsidR="00522C49" w:rsidRPr="00A66D33">
        <w:rPr>
          <w:rFonts w:hint="eastAsia"/>
        </w:rPr>
        <w:t>監察院行使</w:t>
      </w:r>
      <w:r w:rsidR="002B0180" w:rsidRPr="00A66D33">
        <w:rPr>
          <w:rFonts w:hint="eastAsia"/>
        </w:rPr>
        <w:t>調查權從立憲以來，對於司法權監</w:t>
      </w:r>
      <w:r w:rsidR="002B0180" w:rsidRPr="00A66D33">
        <w:rPr>
          <w:rFonts w:hint="eastAsia"/>
        </w:rPr>
        <w:lastRenderedPageBreak/>
        <w:t>督不遺餘力，特別是就判決違背法令之司法裁判</w:t>
      </w:r>
      <w:r w:rsidR="00501F19" w:rsidRPr="00A66D33">
        <w:rPr>
          <w:rFonts w:hint="eastAsia"/>
        </w:rPr>
        <w:t>，透過調查權之行使，</w:t>
      </w:r>
      <w:r w:rsidR="00AB33FA" w:rsidRPr="00A66D33">
        <w:rPr>
          <w:rFonts w:hint="eastAsia"/>
        </w:rPr>
        <w:t>未必</w:t>
      </w:r>
      <w:r w:rsidR="00264CD5" w:rsidRPr="00A66D33">
        <w:rPr>
          <w:rFonts w:hint="eastAsia"/>
        </w:rPr>
        <w:t>提起彈劾，</w:t>
      </w:r>
      <w:r w:rsidR="00AB33FA" w:rsidRPr="00A66D33">
        <w:rPr>
          <w:rFonts w:hint="eastAsia"/>
        </w:rPr>
        <w:t>或</w:t>
      </w:r>
      <w:r w:rsidR="00501F19" w:rsidRPr="00A66D33">
        <w:rPr>
          <w:rFonts w:hint="eastAsia"/>
        </w:rPr>
        <w:t>將調查報告移請法務部轉最高檢察署檢察總長研提非常上訴或再審，</w:t>
      </w:r>
      <w:r w:rsidR="00264CD5" w:rsidRPr="00A66D33">
        <w:rPr>
          <w:rFonts w:hint="eastAsia"/>
        </w:rPr>
        <w:t>或將所適用之法令</w:t>
      </w:r>
      <w:r w:rsidR="00264CD5" w:rsidRPr="00A66D33">
        <w:rPr>
          <w:rFonts w:hAnsi="標楷體" w:hint="eastAsia"/>
        </w:rPr>
        <w:t>，</w:t>
      </w:r>
      <w:r w:rsidR="00264CD5" w:rsidRPr="00A66D33">
        <w:rPr>
          <w:rFonts w:hint="eastAsia"/>
        </w:rPr>
        <w:t>諸如涉及違憲或違法部分，移請司法院大法官解釋，故</w:t>
      </w:r>
      <w:r w:rsidR="00501F19" w:rsidRPr="00A66D33">
        <w:rPr>
          <w:rFonts w:hint="eastAsia"/>
        </w:rPr>
        <w:t>司法院大法官解釋中亦有</w:t>
      </w:r>
      <w:r w:rsidR="00264CD5" w:rsidRPr="00A66D33">
        <w:rPr>
          <w:rFonts w:hint="eastAsia"/>
        </w:rPr>
        <w:t>如</w:t>
      </w:r>
      <w:r w:rsidR="00775293" w:rsidRPr="00A66D33">
        <w:rPr>
          <w:rFonts w:hAnsi="標楷體" w:hint="eastAsia"/>
        </w:rPr>
        <w:t>釋字第13</w:t>
      </w:r>
      <w:r w:rsidR="008849F1" w:rsidRPr="00A66D33">
        <w:rPr>
          <w:rFonts w:hAnsi="標楷體" w:hint="eastAsia"/>
        </w:rPr>
        <w:t>號</w:t>
      </w:r>
      <w:r w:rsidR="00775293" w:rsidRPr="00A66D33">
        <w:rPr>
          <w:rFonts w:hAnsi="標楷體" w:hint="eastAsia"/>
        </w:rPr>
        <w:t>解釋</w:t>
      </w:r>
      <w:r w:rsidR="00264CD5" w:rsidRPr="00A66D33">
        <w:rPr>
          <w:rFonts w:hint="eastAsia"/>
        </w:rPr>
        <w:t>（附件編號6）、</w:t>
      </w:r>
      <w:r w:rsidR="00775293" w:rsidRPr="00A66D33">
        <w:rPr>
          <w:rFonts w:hAnsi="標楷體" w:hint="eastAsia"/>
        </w:rPr>
        <w:t>釋字第86</w:t>
      </w:r>
      <w:r w:rsidR="008849F1" w:rsidRPr="00A66D33">
        <w:rPr>
          <w:rFonts w:hAnsi="標楷體" w:hint="eastAsia"/>
        </w:rPr>
        <w:t>號</w:t>
      </w:r>
      <w:r w:rsidR="00775293" w:rsidRPr="00A66D33">
        <w:rPr>
          <w:rFonts w:hAnsi="標楷體" w:hint="eastAsia"/>
        </w:rPr>
        <w:t>解釋</w:t>
      </w:r>
      <w:r w:rsidR="00264CD5" w:rsidRPr="00A66D33">
        <w:rPr>
          <w:rFonts w:hint="eastAsia"/>
        </w:rPr>
        <w:t>（附件編號8）、</w:t>
      </w:r>
      <w:r w:rsidR="00775293" w:rsidRPr="00A66D33">
        <w:rPr>
          <w:rFonts w:hAnsi="標楷體" w:hint="eastAsia"/>
        </w:rPr>
        <w:t>釋字第60</w:t>
      </w:r>
      <w:r w:rsidR="008849F1" w:rsidRPr="00A66D33">
        <w:rPr>
          <w:rFonts w:hAnsi="標楷體" w:hint="eastAsia"/>
        </w:rPr>
        <w:t>號</w:t>
      </w:r>
      <w:r w:rsidR="00775293" w:rsidRPr="00A66D33">
        <w:rPr>
          <w:rFonts w:hAnsi="標楷體" w:hint="eastAsia"/>
        </w:rPr>
        <w:t>解釋</w:t>
      </w:r>
      <w:r w:rsidR="00264CD5" w:rsidRPr="00A66D33">
        <w:rPr>
          <w:rFonts w:hint="eastAsia"/>
        </w:rPr>
        <w:t>（附件編號10）、</w:t>
      </w:r>
      <w:r w:rsidR="00775293" w:rsidRPr="00A66D33">
        <w:rPr>
          <w:rFonts w:hAnsi="標楷體" w:hint="eastAsia"/>
        </w:rPr>
        <w:t>釋字第128</w:t>
      </w:r>
      <w:r w:rsidR="008849F1" w:rsidRPr="00A66D33">
        <w:rPr>
          <w:rFonts w:hAnsi="標楷體" w:hint="eastAsia"/>
        </w:rPr>
        <w:t>號</w:t>
      </w:r>
      <w:r w:rsidR="00775293" w:rsidRPr="00A66D33">
        <w:rPr>
          <w:rFonts w:hAnsi="標楷體" w:hint="eastAsia"/>
        </w:rPr>
        <w:t>解釋</w:t>
      </w:r>
      <w:r w:rsidR="00264CD5" w:rsidRPr="00A66D33">
        <w:rPr>
          <w:rFonts w:hint="eastAsia"/>
        </w:rPr>
        <w:t>（附件編號</w:t>
      </w:r>
      <w:r w:rsidR="00775293" w:rsidRPr="00A66D33">
        <w:rPr>
          <w:rFonts w:hint="eastAsia"/>
        </w:rPr>
        <w:t>26</w:t>
      </w:r>
      <w:r w:rsidR="00264CD5" w:rsidRPr="00A66D33">
        <w:rPr>
          <w:rFonts w:hint="eastAsia"/>
        </w:rPr>
        <w:t>）、</w:t>
      </w:r>
      <w:r w:rsidR="00775293" w:rsidRPr="00A66D33">
        <w:rPr>
          <w:rFonts w:hAnsi="標楷體" w:hint="eastAsia"/>
        </w:rPr>
        <w:t>釋字第137</w:t>
      </w:r>
      <w:r w:rsidR="008849F1" w:rsidRPr="00A66D33">
        <w:rPr>
          <w:rFonts w:hAnsi="標楷體" w:hint="eastAsia"/>
        </w:rPr>
        <w:t>號</w:t>
      </w:r>
      <w:r w:rsidR="00775293" w:rsidRPr="00A66D33">
        <w:rPr>
          <w:rFonts w:hAnsi="標楷體" w:hint="eastAsia"/>
        </w:rPr>
        <w:t>解釋</w:t>
      </w:r>
      <w:r w:rsidR="00264CD5" w:rsidRPr="00A66D33">
        <w:rPr>
          <w:rFonts w:hAnsi="標楷體" w:hint="eastAsia"/>
        </w:rPr>
        <w:t>（附件編號</w:t>
      </w:r>
      <w:r w:rsidR="00775293" w:rsidRPr="00A66D33">
        <w:rPr>
          <w:rFonts w:hAnsi="標楷體" w:hint="eastAsia"/>
        </w:rPr>
        <w:t>27</w:t>
      </w:r>
      <w:r w:rsidR="00264CD5" w:rsidRPr="00A66D33">
        <w:rPr>
          <w:rFonts w:hAnsi="標楷體" w:hint="eastAsia"/>
        </w:rPr>
        <w:t>）、</w:t>
      </w:r>
      <w:r w:rsidR="00775293" w:rsidRPr="00A66D33">
        <w:rPr>
          <w:rFonts w:hAnsi="標楷體" w:hint="eastAsia"/>
        </w:rPr>
        <w:t>釋字第167</w:t>
      </w:r>
      <w:r w:rsidR="002F228A" w:rsidRPr="00A66D33">
        <w:rPr>
          <w:rFonts w:hAnsi="標楷體" w:hint="eastAsia"/>
        </w:rPr>
        <w:t>號</w:t>
      </w:r>
      <w:r w:rsidR="00775293" w:rsidRPr="00A66D33">
        <w:rPr>
          <w:rFonts w:hAnsi="標楷體" w:hint="eastAsia"/>
        </w:rPr>
        <w:t>解釋</w:t>
      </w:r>
      <w:r w:rsidR="00264CD5" w:rsidRPr="00A66D33">
        <w:rPr>
          <w:rFonts w:hAnsi="標楷體" w:hint="eastAsia"/>
        </w:rPr>
        <w:t>（附件編號3</w:t>
      </w:r>
      <w:r w:rsidR="00775293" w:rsidRPr="00A66D33">
        <w:rPr>
          <w:rFonts w:hAnsi="標楷體" w:hint="eastAsia"/>
        </w:rPr>
        <w:t>1</w:t>
      </w:r>
      <w:r w:rsidR="00264CD5" w:rsidRPr="00A66D33">
        <w:rPr>
          <w:rFonts w:hAnsi="標楷體" w:hint="eastAsia"/>
        </w:rPr>
        <w:t>）、</w:t>
      </w:r>
      <w:r w:rsidR="00775293" w:rsidRPr="00A66D33">
        <w:rPr>
          <w:rFonts w:hAnsi="標楷體" w:hint="eastAsia"/>
        </w:rPr>
        <w:t>釋字第164</w:t>
      </w:r>
      <w:r w:rsidR="002F228A" w:rsidRPr="00A66D33">
        <w:rPr>
          <w:rFonts w:hAnsi="標楷體" w:hint="eastAsia"/>
        </w:rPr>
        <w:t>號</w:t>
      </w:r>
      <w:r w:rsidR="00775293" w:rsidRPr="00A66D33">
        <w:rPr>
          <w:rFonts w:hAnsi="標楷體" w:hint="eastAsia"/>
        </w:rPr>
        <w:t>解釋</w:t>
      </w:r>
      <w:r w:rsidR="00264CD5" w:rsidRPr="00A66D33">
        <w:rPr>
          <w:rFonts w:hAnsi="標楷體" w:hint="eastAsia"/>
        </w:rPr>
        <w:t>（附件編號3</w:t>
      </w:r>
      <w:r w:rsidR="00775293" w:rsidRPr="00A66D33">
        <w:rPr>
          <w:rFonts w:hAnsi="標楷體" w:hint="eastAsia"/>
        </w:rPr>
        <w:t>2</w:t>
      </w:r>
      <w:r w:rsidR="00264CD5" w:rsidRPr="00A66D33">
        <w:rPr>
          <w:rFonts w:hAnsi="標楷體" w:hint="eastAsia"/>
        </w:rPr>
        <w:t>）、</w:t>
      </w:r>
      <w:r w:rsidR="00775293" w:rsidRPr="00A66D33">
        <w:rPr>
          <w:rFonts w:hAnsi="標楷體" w:hint="eastAsia"/>
        </w:rPr>
        <w:t>釋字第181</w:t>
      </w:r>
      <w:r w:rsidR="002F228A" w:rsidRPr="00A66D33">
        <w:rPr>
          <w:rFonts w:hAnsi="標楷體" w:hint="eastAsia"/>
        </w:rPr>
        <w:t>號</w:t>
      </w:r>
      <w:r w:rsidR="00775293" w:rsidRPr="00A66D33">
        <w:rPr>
          <w:rFonts w:hAnsi="標楷體" w:hint="eastAsia"/>
        </w:rPr>
        <w:t>解釋</w:t>
      </w:r>
      <w:r w:rsidR="00264CD5" w:rsidRPr="00A66D33">
        <w:rPr>
          <w:rFonts w:hAnsi="標楷體" w:hint="eastAsia"/>
        </w:rPr>
        <w:t>（附件編號</w:t>
      </w:r>
      <w:r w:rsidR="00775293" w:rsidRPr="00A66D33">
        <w:rPr>
          <w:rFonts w:hAnsi="標楷體" w:hint="eastAsia"/>
        </w:rPr>
        <w:t>36</w:t>
      </w:r>
      <w:r w:rsidR="00264CD5" w:rsidRPr="00A66D33">
        <w:rPr>
          <w:rFonts w:hAnsi="標楷體" w:hint="eastAsia"/>
        </w:rPr>
        <w:t>）</w:t>
      </w:r>
      <w:r w:rsidR="00AB33FA" w:rsidRPr="00A66D33">
        <w:rPr>
          <w:rFonts w:hAnsi="標楷體" w:hint="eastAsia"/>
        </w:rPr>
        <w:t>、</w:t>
      </w:r>
      <w:r w:rsidR="00775293" w:rsidRPr="00A66D33">
        <w:rPr>
          <w:rFonts w:hAnsi="標楷體" w:hint="eastAsia"/>
        </w:rPr>
        <w:t>釋字第238</w:t>
      </w:r>
      <w:r w:rsidR="002F228A" w:rsidRPr="00A66D33">
        <w:rPr>
          <w:rFonts w:hAnsi="標楷體" w:hint="eastAsia"/>
        </w:rPr>
        <w:t>號</w:t>
      </w:r>
      <w:r w:rsidR="00775293" w:rsidRPr="00A66D33">
        <w:rPr>
          <w:rFonts w:hAnsi="標楷體" w:hint="eastAsia"/>
        </w:rPr>
        <w:t>解釋</w:t>
      </w:r>
      <w:r w:rsidR="00AB33FA" w:rsidRPr="00A66D33">
        <w:rPr>
          <w:rFonts w:hAnsi="標楷體" w:hint="eastAsia"/>
        </w:rPr>
        <w:t>（附件編號4</w:t>
      </w:r>
      <w:r w:rsidR="00775293" w:rsidRPr="00A66D33">
        <w:rPr>
          <w:rFonts w:hAnsi="標楷體" w:hint="eastAsia"/>
        </w:rPr>
        <w:t>0</w:t>
      </w:r>
      <w:r w:rsidR="00AB33FA" w:rsidRPr="00A66D33">
        <w:rPr>
          <w:rFonts w:hAnsi="標楷體" w:hint="eastAsia"/>
        </w:rPr>
        <w:t>）</w:t>
      </w:r>
      <w:r w:rsidR="00AB33FA" w:rsidRPr="00A66D33">
        <w:rPr>
          <w:rStyle w:val="aff"/>
          <w:rFonts w:hAnsi="標楷體"/>
        </w:rPr>
        <w:footnoteReference w:id="56"/>
      </w:r>
      <w:r w:rsidR="00AB33FA" w:rsidRPr="00A66D33">
        <w:rPr>
          <w:rFonts w:hAnsi="標楷體" w:hint="eastAsia"/>
        </w:rPr>
        <w:t>與</w:t>
      </w:r>
      <w:r w:rsidR="00775293" w:rsidRPr="00A66D33">
        <w:rPr>
          <w:rFonts w:hAnsi="標楷體" w:hint="eastAsia"/>
        </w:rPr>
        <w:t>釋字第530</w:t>
      </w:r>
      <w:r w:rsidR="002F228A" w:rsidRPr="00A66D33">
        <w:rPr>
          <w:rFonts w:hAnsi="標楷體" w:hint="eastAsia"/>
        </w:rPr>
        <w:t>號</w:t>
      </w:r>
      <w:r w:rsidR="00775293" w:rsidRPr="00A66D33">
        <w:rPr>
          <w:rFonts w:hAnsi="標楷體" w:hint="eastAsia"/>
        </w:rPr>
        <w:t>解釋</w:t>
      </w:r>
      <w:r w:rsidR="00AB33FA" w:rsidRPr="00A66D33">
        <w:rPr>
          <w:rFonts w:hAnsi="標楷體" w:hint="eastAsia"/>
        </w:rPr>
        <w:t>（附件編號</w:t>
      </w:r>
      <w:r w:rsidR="00775293" w:rsidRPr="00A66D33">
        <w:rPr>
          <w:rFonts w:hAnsi="標楷體" w:hint="eastAsia"/>
        </w:rPr>
        <w:t>44</w:t>
      </w:r>
      <w:r w:rsidR="00AB33FA" w:rsidRPr="00A66D33">
        <w:rPr>
          <w:rFonts w:hAnsi="標楷體" w:hint="eastAsia"/>
        </w:rPr>
        <w:t>）等</w:t>
      </w:r>
      <w:r w:rsidR="00522C49" w:rsidRPr="00A66D33">
        <w:rPr>
          <w:rFonts w:hAnsi="標楷體" w:hint="eastAsia"/>
        </w:rPr>
        <w:t>著有明例</w:t>
      </w:r>
      <w:r w:rsidRPr="00A66D33">
        <w:rPr>
          <w:rFonts w:hAnsi="標楷體" w:hint="eastAsia"/>
        </w:rPr>
        <w:t>，從而，調查權行使並未取代司法權</w:t>
      </w:r>
      <w:r w:rsidR="00BC4C64" w:rsidRPr="00A66D33">
        <w:rPr>
          <w:rFonts w:hAnsi="標楷體" w:hint="eastAsia"/>
        </w:rPr>
        <w:t>成為第四審，仍最終由司法權判斷，係合乎權力分立之概念，無庸置疑。</w:t>
      </w:r>
    </w:p>
    <w:p w:rsidR="00BC4C64" w:rsidRPr="00A66D33" w:rsidRDefault="00BC4C64" w:rsidP="00BC4C64">
      <w:pPr>
        <w:pStyle w:val="4"/>
        <w:rPr>
          <w:rFonts w:hAnsi="標楷體"/>
        </w:rPr>
      </w:pPr>
      <w:r w:rsidRPr="00A66D33">
        <w:rPr>
          <w:rFonts w:hint="eastAsia"/>
        </w:rPr>
        <w:t>是則</w:t>
      </w:r>
      <w:r w:rsidRPr="00A66D33">
        <w:rPr>
          <w:rFonts w:hAnsi="標楷體" w:hint="eastAsia"/>
        </w:rPr>
        <w:t>，監察院為最高監察機關，就各機關及人員之違法與失職，為合法性監督與合目的性監督，在為合法性監督時，相較於司法權因無庸做出具有法拘束力之終局決定，監察院</w:t>
      </w:r>
      <w:r w:rsidR="00A94D1C" w:rsidRPr="00A66D33">
        <w:rPr>
          <w:rFonts w:hAnsi="標楷體" w:hint="eastAsia"/>
        </w:rPr>
        <w:t>因</w:t>
      </w:r>
      <w:r w:rsidRPr="00A66D33">
        <w:rPr>
          <w:rFonts w:hAnsi="標楷體" w:hint="eastAsia"/>
        </w:rPr>
        <w:t>行</w:t>
      </w:r>
      <w:r w:rsidR="00A94D1C" w:rsidRPr="00A66D33">
        <w:rPr>
          <w:rFonts w:hAnsi="標楷體" w:hint="eastAsia"/>
        </w:rPr>
        <w:t>使調查權所為之違憲審查權並無侵害任何憲法權力機關之核心功能，</w:t>
      </w:r>
      <w:r w:rsidR="000D44CA" w:rsidRPr="00A66D33">
        <w:rPr>
          <w:rFonts w:hAnsi="標楷體" w:hint="eastAsia"/>
        </w:rPr>
        <w:t>故無違反權力分立原則</w:t>
      </w:r>
      <w:r w:rsidRPr="00A66D33">
        <w:rPr>
          <w:rFonts w:hAnsi="標楷體" w:hint="eastAsia"/>
        </w:rPr>
        <w:t>。</w:t>
      </w:r>
    </w:p>
    <w:p w:rsidR="00EC4BB8" w:rsidRPr="00A66D33" w:rsidRDefault="00BC4C64" w:rsidP="00F33098">
      <w:pPr>
        <w:pStyle w:val="2"/>
        <w:rPr>
          <w:b/>
        </w:rPr>
      </w:pPr>
      <w:r w:rsidRPr="00A66D33">
        <w:rPr>
          <w:rFonts w:hint="eastAsia"/>
          <w:b/>
        </w:rPr>
        <w:t>憲法機關暨人員應</w:t>
      </w:r>
      <w:r w:rsidR="0049299A" w:rsidRPr="00A66D33">
        <w:rPr>
          <w:rFonts w:hint="eastAsia"/>
          <w:b/>
        </w:rPr>
        <w:t>恪遵</w:t>
      </w:r>
      <w:r w:rsidRPr="00A66D33">
        <w:rPr>
          <w:rFonts w:hint="eastAsia"/>
          <w:b/>
        </w:rPr>
        <w:t>憲法忠誠義務</w:t>
      </w:r>
      <w:r w:rsidR="0049299A" w:rsidRPr="00A66D33">
        <w:rPr>
          <w:rFonts w:hint="eastAsia"/>
          <w:b/>
        </w:rPr>
        <w:t>，遵守權力分立</w:t>
      </w:r>
      <w:r w:rsidR="00105898" w:rsidRPr="00A66D33">
        <w:rPr>
          <w:rFonts w:hint="eastAsia"/>
          <w:b/>
        </w:rPr>
        <w:t>之界限</w:t>
      </w:r>
      <w:r w:rsidR="0049299A" w:rsidRPr="00A66D33">
        <w:rPr>
          <w:rFonts w:hint="eastAsia"/>
          <w:b/>
        </w:rPr>
        <w:t>，維護監察權完整</w:t>
      </w:r>
      <w:r w:rsidR="00D27246" w:rsidRPr="00A66D33">
        <w:rPr>
          <w:rFonts w:hint="eastAsia"/>
          <w:b/>
        </w:rPr>
        <w:t>，</w:t>
      </w:r>
      <w:r w:rsidR="00022929" w:rsidRPr="00A66D33">
        <w:rPr>
          <w:rFonts w:hint="eastAsia"/>
          <w:b/>
        </w:rPr>
        <w:t>司法院</w:t>
      </w:r>
      <w:r w:rsidR="00105898" w:rsidRPr="00A66D33">
        <w:rPr>
          <w:rFonts w:hint="eastAsia"/>
          <w:b/>
        </w:rPr>
        <w:t>大法官受憲法保障，承擔釋憲任務，應對各國家機關的機關忠誠有基本</w:t>
      </w:r>
      <w:r w:rsidR="00022929" w:rsidRPr="00A66D33">
        <w:rPr>
          <w:rFonts w:hint="eastAsia"/>
          <w:b/>
        </w:rPr>
        <w:t>信賴</w:t>
      </w:r>
      <w:r w:rsidR="0049299A" w:rsidRPr="00A66D33">
        <w:rPr>
          <w:rFonts w:hint="eastAsia"/>
          <w:b/>
        </w:rPr>
        <w:t>。</w:t>
      </w:r>
    </w:p>
    <w:p w:rsidR="001F2157" w:rsidRPr="00A66D33" w:rsidRDefault="001F2157" w:rsidP="001F2157">
      <w:pPr>
        <w:pStyle w:val="3"/>
        <w:rPr>
          <w:rFonts w:hAnsi="標楷體"/>
        </w:rPr>
      </w:pPr>
      <w:r w:rsidRPr="00A66D33">
        <w:rPr>
          <w:rFonts w:hAnsi="標楷體" w:hint="eastAsia"/>
        </w:rPr>
        <w:t>憲法機關暨人員具有對憲法忠誠義務。</w:t>
      </w:r>
    </w:p>
    <w:p w:rsidR="0049299A" w:rsidRPr="00A66D33" w:rsidRDefault="001D7610" w:rsidP="004A68C3">
      <w:pPr>
        <w:pStyle w:val="32"/>
        <w:ind w:left="1361" w:firstLine="680"/>
        <w:rPr>
          <w:rFonts w:hAnsi="標楷體"/>
        </w:rPr>
      </w:pPr>
      <w:r w:rsidRPr="00A66D33">
        <w:rPr>
          <w:rFonts w:hint="eastAsia"/>
        </w:rPr>
        <w:t>司法院釋字第</w:t>
      </w:r>
      <w:r w:rsidRPr="00A66D33">
        <w:t>530</w:t>
      </w:r>
      <w:r w:rsidRPr="00A66D33">
        <w:rPr>
          <w:rFonts w:hint="eastAsia"/>
        </w:rPr>
        <w:t>號蘇俊雄大法官協同意見書：憲法機關在憲政運作上負有「憲法忠誠」之義</w:t>
      </w:r>
      <w:r w:rsidRPr="00A66D33">
        <w:rPr>
          <w:rFonts w:hint="eastAsia"/>
        </w:rPr>
        <w:lastRenderedPageBreak/>
        <w:t>務，必須遵循並努力維繫憲政制度的正常運作，既不得僭越其職權，亦不容以意氣之爭癱瘓損害憲政機制的功能。此項「憲法忠誠」的規範要求，雖未見諸憲法明文規定，但不僅為憲政制度之正常運作所必需，亦蘊含於責任政治之政治倫理，其規範性應不容置疑等語</w:t>
      </w:r>
      <w:r w:rsidRPr="00A66D33">
        <w:rPr>
          <w:rFonts w:hAnsi="標楷體" w:hint="eastAsia"/>
        </w:rPr>
        <w:t>。</w:t>
      </w:r>
      <w:r w:rsidRPr="00A66D33">
        <w:rPr>
          <w:rFonts w:hint="eastAsia"/>
        </w:rPr>
        <w:t>釋字第632號解釋稱</w:t>
      </w:r>
      <w:r w:rsidRPr="00A66D33">
        <w:rPr>
          <w:rFonts w:hAnsi="標楷體" w:hint="eastAsia"/>
        </w:rPr>
        <w:t>：</w:t>
      </w:r>
      <w:r w:rsidRPr="00A66D33">
        <w:rPr>
          <w:rFonts w:hint="eastAsia"/>
        </w:rPr>
        <w:t>「監察院為國家最高監察機關，行使彈劾、糾舉及審計權」，「監察院設監察委員</w:t>
      </w:r>
      <w:r w:rsidR="000D2A39" w:rsidRPr="00A66D33">
        <w:rPr>
          <w:rFonts w:hint="eastAsia"/>
        </w:rPr>
        <w:t>29</w:t>
      </w:r>
      <w:r w:rsidRPr="00A66D33">
        <w:rPr>
          <w:rFonts w:hint="eastAsia"/>
        </w:rPr>
        <w:t>人，並以其中一人為院長、一人為副院長，任期</w:t>
      </w:r>
      <w:r w:rsidR="000D2A39" w:rsidRPr="00A66D33">
        <w:rPr>
          <w:rFonts w:hint="eastAsia"/>
        </w:rPr>
        <w:t>6</w:t>
      </w:r>
      <w:r w:rsidRPr="00A66D33">
        <w:rPr>
          <w:rFonts w:hint="eastAsia"/>
        </w:rPr>
        <w:t>年，由總統提名，經立法院同意任命之」，為憲法增修條文第</w:t>
      </w:r>
      <w:r w:rsidR="000D2A39" w:rsidRPr="00A66D33">
        <w:rPr>
          <w:rFonts w:hint="eastAsia"/>
        </w:rPr>
        <w:t>7</w:t>
      </w:r>
      <w:r w:rsidRPr="00A66D33">
        <w:rPr>
          <w:rFonts w:hint="eastAsia"/>
        </w:rPr>
        <w:t>條第</w:t>
      </w:r>
      <w:r w:rsidR="000D2A39" w:rsidRPr="00A66D33">
        <w:rPr>
          <w:rFonts w:hint="eastAsia"/>
        </w:rPr>
        <w:t>1</w:t>
      </w:r>
      <w:r w:rsidRPr="00A66D33">
        <w:rPr>
          <w:rFonts w:hint="eastAsia"/>
        </w:rPr>
        <w:t>項、第</w:t>
      </w:r>
      <w:r w:rsidR="000D2A39" w:rsidRPr="00A66D33">
        <w:rPr>
          <w:rFonts w:hint="eastAsia"/>
        </w:rPr>
        <w:t>2</w:t>
      </w:r>
      <w:r w:rsidRPr="00A66D33">
        <w:rPr>
          <w:rFonts w:hint="eastAsia"/>
        </w:rPr>
        <w:t>項所明定。是監察院係憲法所設置並賦予特定職權之國家憲法機關，為維繫國家整體憲政體制正常運行不可或缺之一環，其院長、副院長與監察委員皆係憲法保留之法定職位，故確保監察院實質存續與正常運行，應屬所有憲法機關無可旁貸之職責。為使監察院之職權得以不間斷行使，總統於當屆監察院院長、副院長及監察委員任期屆滿前，應適時提名繼任人選咨請立法院同意，立法院亦應適時行使同意權，以維繫監察院之正常運行。總統如消極不為提名，或立法院消極不行使同意權，</w:t>
      </w:r>
      <w:r w:rsidRPr="00A66D33">
        <w:rPr>
          <w:rFonts w:hint="eastAsia"/>
          <w:b/>
        </w:rPr>
        <w:t>致監察院無從行使職權、發揮功能，國家憲政制度之完整因而遭受破壞，自為憲法所不許。</w:t>
      </w:r>
      <w:r w:rsidRPr="00A66D33">
        <w:rPr>
          <w:rFonts w:hint="eastAsia"/>
        </w:rPr>
        <w:t>引發本件解釋之疑義，應依上開解釋意旨為適當之處理</w:t>
      </w:r>
      <w:r w:rsidR="0049299A" w:rsidRPr="00A66D33">
        <w:rPr>
          <w:rFonts w:hint="eastAsia"/>
        </w:rPr>
        <w:t>等語</w:t>
      </w:r>
      <w:r w:rsidRPr="00A66D33">
        <w:rPr>
          <w:rFonts w:hint="eastAsia"/>
        </w:rPr>
        <w:t>。</w:t>
      </w:r>
      <w:r w:rsidR="0049299A" w:rsidRPr="00A66D33">
        <w:rPr>
          <w:rFonts w:hint="eastAsia"/>
        </w:rPr>
        <w:t>次按</w:t>
      </w:r>
      <w:r w:rsidR="0049299A" w:rsidRPr="00A66D33">
        <w:rPr>
          <w:rFonts w:hAnsi="標楷體" w:hint="eastAsia"/>
          <w:szCs w:val="32"/>
        </w:rPr>
        <w:t>公務員服務法第1條規定：「公務員應遵守誓言，忠心努力，依法律命令所定，執行其職務。」宣誓條例第2條第</w:t>
      </w:r>
      <w:r w:rsidR="004A68C3" w:rsidRPr="00A66D33">
        <w:rPr>
          <w:rFonts w:hAnsi="標楷體" w:hint="eastAsia"/>
          <w:szCs w:val="32"/>
        </w:rPr>
        <w:t>3款、第4款及</w:t>
      </w:r>
      <w:r w:rsidR="0049299A" w:rsidRPr="00A66D33">
        <w:rPr>
          <w:rFonts w:hAnsi="標楷體" w:hint="eastAsia"/>
          <w:szCs w:val="32"/>
        </w:rPr>
        <w:t>第6條第2</w:t>
      </w:r>
      <w:r w:rsidR="004A68C3" w:rsidRPr="00A66D33">
        <w:rPr>
          <w:rFonts w:hAnsi="標楷體" w:hint="eastAsia"/>
          <w:szCs w:val="32"/>
        </w:rPr>
        <w:t>項</w:t>
      </w:r>
      <w:r w:rsidR="0049299A" w:rsidRPr="00A66D33">
        <w:rPr>
          <w:rFonts w:hAnsi="標楷體" w:hint="eastAsia"/>
          <w:szCs w:val="32"/>
        </w:rPr>
        <w:t>規定</w:t>
      </w:r>
      <w:r w:rsidR="004A68C3" w:rsidRPr="00A66D33">
        <w:rPr>
          <w:rFonts w:hAnsi="標楷體" w:hint="eastAsia"/>
          <w:szCs w:val="32"/>
        </w:rPr>
        <w:t>，中央政府各級機關政務人員、首長、副首長、司法院大法官、考試院考試委員、監察委員、監察院院長、副院長之</w:t>
      </w:r>
      <w:r w:rsidR="0049299A" w:rsidRPr="00A66D33">
        <w:rPr>
          <w:rFonts w:hAnsi="標楷體" w:hint="eastAsia"/>
          <w:szCs w:val="32"/>
        </w:rPr>
        <w:t>誓言為：「余誓以至誠，恪遵國家法令，盡忠職守，報效國家，不妄費公帑，不濫用人員，不營私舞弊，</w:t>
      </w:r>
      <w:r w:rsidR="0049299A" w:rsidRPr="00A66D33">
        <w:rPr>
          <w:rFonts w:hAnsi="標楷體" w:hint="eastAsia"/>
          <w:szCs w:val="32"/>
        </w:rPr>
        <w:lastRenderedPageBreak/>
        <w:t>不受授賄賂。如違誓言，願受最嚴厲之處罰，謹誓。」同條例第9條規定：「宣誓人如違背誓言，應依法從重處罰。」此即將公務員對憲法忠誠義務，轉化為純粹法律義務，因公務員對於國家與憲法具有「特別政治忠誠義務」，而與一般國民有所不同，所以公務員不論其是否為政務官或事務官必須尊重與全力維護此現行憲政秩序，不得有敵視憲法或對憲法有不友善之行為，若公務員贊成或執行反對現行法律及國家秩序活動時，即屬違反公務員忠誠義務</w:t>
      </w:r>
      <w:r w:rsidR="0049299A" w:rsidRPr="00A66D33">
        <w:rPr>
          <w:rStyle w:val="aff"/>
          <w:rFonts w:hAnsi="標楷體"/>
          <w:szCs w:val="32"/>
        </w:rPr>
        <w:footnoteReference w:id="57"/>
      </w:r>
      <w:r w:rsidR="0049299A" w:rsidRPr="00A66D33">
        <w:rPr>
          <w:rFonts w:hAnsi="標楷體" w:hint="eastAsia"/>
          <w:szCs w:val="32"/>
        </w:rPr>
        <w:t>，有悖公務員服務法第1條之規定。</w:t>
      </w:r>
    </w:p>
    <w:p w:rsidR="005E7AFA" w:rsidRPr="00A66D33" w:rsidRDefault="001F2157" w:rsidP="005E7AFA">
      <w:pPr>
        <w:pStyle w:val="3"/>
        <w:rPr>
          <w:b/>
        </w:rPr>
      </w:pPr>
      <w:r w:rsidRPr="00A66D33">
        <w:rPr>
          <w:rFonts w:hint="eastAsia"/>
          <w:b/>
        </w:rPr>
        <w:t>權力分立與制衡乃現代民主社會核心價值</w:t>
      </w:r>
      <w:r w:rsidR="00DE47D9" w:rsidRPr="00A66D33">
        <w:rPr>
          <w:rFonts w:hAnsi="標楷體" w:hint="eastAsia"/>
          <w:b/>
        </w:rPr>
        <w:t>，</w:t>
      </w:r>
      <w:r w:rsidR="00DE47D9" w:rsidRPr="00A66D33">
        <w:rPr>
          <w:rFonts w:hint="eastAsia"/>
          <w:b/>
        </w:rPr>
        <w:t>司法院</w:t>
      </w:r>
      <w:r w:rsidR="005E7AFA" w:rsidRPr="00A66D33">
        <w:rPr>
          <w:rFonts w:hint="eastAsia"/>
          <w:b/>
        </w:rPr>
        <w:t>應維護監察權完整，對監察院機關忠誠有基本信賴。</w:t>
      </w:r>
    </w:p>
    <w:p w:rsidR="00582143" w:rsidRPr="00A66D33" w:rsidRDefault="0049299A" w:rsidP="00582143">
      <w:pPr>
        <w:pStyle w:val="32"/>
        <w:ind w:left="1361" w:firstLine="680"/>
        <w:rPr>
          <w:rFonts w:hAnsi="標楷體"/>
        </w:rPr>
        <w:sectPr w:rsidR="00582143" w:rsidRPr="00A66D33" w:rsidSect="006E1927">
          <w:footerReference w:type="default" r:id="rId9"/>
          <w:pgSz w:w="11907" w:h="16840" w:code="9"/>
          <w:pgMar w:top="1701" w:right="1418" w:bottom="1418" w:left="1418" w:header="851" w:footer="567" w:gutter="227"/>
          <w:pgNumType w:start="1"/>
          <w:cols w:space="425"/>
          <w:docGrid w:type="linesAndChars" w:linePitch="457" w:charSpace="4127"/>
        </w:sectPr>
      </w:pPr>
      <w:r w:rsidRPr="00A66D33">
        <w:rPr>
          <w:rFonts w:hint="eastAsia"/>
        </w:rPr>
        <w:t>復按</w:t>
      </w:r>
      <w:r w:rsidR="001D7610" w:rsidRPr="00A66D33">
        <w:rPr>
          <w:rFonts w:hint="eastAsia"/>
        </w:rPr>
        <w:t>權力分立與制衡乃</w:t>
      </w:r>
      <w:r w:rsidR="00DA66E5" w:rsidRPr="00A66D33">
        <w:rPr>
          <w:rFonts w:hint="eastAsia"/>
        </w:rPr>
        <w:t>現代民主社會核心價值，分權目的在於避免權力獨裁</w:t>
      </w:r>
      <w:r w:rsidR="001D7610" w:rsidRPr="00A66D33">
        <w:rPr>
          <w:rFonts w:hint="eastAsia"/>
        </w:rPr>
        <w:t>產生。法國人權宣言（法國國民議會，</w:t>
      </w:r>
      <w:r w:rsidR="000D2A39" w:rsidRPr="00A66D33">
        <w:rPr>
          <w:rFonts w:hint="eastAsia"/>
        </w:rPr>
        <w:t>西元</w:t>
      </w:r>
      <w:r w:rsidR="001D7610" w:rsidRPr="00A66D33">
        <w:rPr>
          <w:rFonts w:hint="eastAsia"/>
        </w:rPr>
        <w:t>1789年8月26日）即揭櫫：「組成國民議會之法國人代表認為，無視、遺忘或蔑視人權是公眾不幸和政府腐敗的唯一原因，所以決定把自然的、不可剝奪的和神聖的人權闡明於莊嚴的宣言之中，</w:t>
      </w:r>
      <w:r w:rsidR="001D7610" w:rsidRPr="00A66D33">
        <w:rPr>
          <w:rFonts w:hint="eastAsia"/>
          <w:b/>
        </w:rPr>
        <w:t>以便本宣言可以經常呈現在社會各個成員之前，使他們不斷地想到他們的權利和義務</w:t>
      </w:r>
      <w:r w:rsidR="001D7610" w:rsidRPr="00A66D33">
        <w:rPr>
          <w:rFonts w:hint="eastAsia"/>
        </w:rPr>
        <w:t>；以便立法權的決議和行政權的決定能隨時和整個政治機構的目標兩相比較，從而能更加受到他們的尊重；以便公民們今後以簡單而無可爭辯的原則為根據的那些要求能確保憲法與全體幸福之維護。（中略）</w:t>
      </w:r>
      <w:r w:rsidR="001D7610" w:rsidRPr="00A66D33">
        <w:rPr>
          <w:rFonts w:hint="eastAsia"/>
          <w:b/>
        </w:rPr>
        <w:t>凡權利無保障和『分權未確立的社會』，就沒有這種力量 。（下略</w:t>
      </w:r>
      <w:r w:rsidR="001D7610" w:rsidRPr="00A66D33">
        <w:rPr>
          <w:rFonts w:hint="eastAsia"/>
        </w:rPr>
        <w:t>）」。封建社會自皇帝以降各級地方官員集立法、行政、司法三權於一身，</w:t>
      </w:r>
      <w:r w:rsidR="001D7610" w:rsidRPr="00A66D33">
        <w:rPr>
          <w:rFonts w:hint="eastAsia"/>
          <w:b/>
        </w:rPr>
        <w:t>無</w:t>
      </w:r>
      <w:r w:rsidR="001D7610" w:rsidRPr="00A66D33">
        <w:rPr>
          <w:rFonts w:hint="eastAsia"/>
          <w:b/>
        </w:rPr>
        <w:lastRenderedPageBreak/>
        <w:t>論如何倡言「以民為念」、「民為邦本」之理念，但均易造成權力濫用。</w:t>
      </w:r>
      <w:r w:rsidR="001D7610" w:rsidRPr="00A66D33">
        <w:rPr>
          <w:rFonts w:hint="eastAsia"/>
        </w:rPr>
        <w:t>故現代民主國家基於對「人治（明君賢臣）」之懷疑，而將權力切割</w:t>
      </w:r>
      <w:r w:rsidR="00F33098" w:rsidRPr="00A66D33">
        <w:rPr>
          <w:rFonts w:hint="eastAsia"/>
        </w:rPr>
        <w:t>，行政權必須對立法權負責，而司法權則獨立監督各執法機構，避免違法</w:t>
      </w:r>
      <w:r w:rsidR="001D7610" w:rsidRPr="00A66D33">
        <w:rPr>
          <w:rFonts w:hint="eastAsia"/>
        </w:rPr>
        <w:t>，</w:t>
      </w:r>
      <w:r w:rsidR="002550ED" w:rsidRPr="00A66D33">
        <w:rPr>
          <w:rFonts w:hint="eastAsia"/>
        </w:rPr>
        <w:t>在中華民國</w:t>
      </w:r>
      <w:r w:rsidR="001D7610" w:rsidRPr="00A66D33">
        <w:rPr>
          <w:rFonts w:hint="eastAsia"/>
        </w:rPr>
        <w:t>監察權設計即</w:t>
      </w:r>
      <w:r w:rsidRPr="00A66D33">
        <w:rPr>
          <w:rFonts w:hint="eastAsia"/>
        </w:rPr>
        <w:t>在於防止國家權力之濫權</w:t>
      </w:r>
      <w:r w:rsidR="001D7610" w:rsidRPr="00A66D33">
        <w:rPr>
          <w:rFonts w:hint="eastAsia"/>
        </w:rPr>
        <w:t>，</w:t>
      </w:r>
      <w:r w:rsidR="002550ED" w:rsidRPr="00A66D33">
        <w:rPr>
          <w:rFonts w:hint="eastAsia"/>
        </w:rPr>
        <w:t>行</w:t>
      </w:r>
      <w:r w:rsidRPr="00A66D33">
        <w:rPr>
          <w:rFonts w:hint="eastAsia"/>
        </w:rPr>
        <w:t>憲以來</w:t>
      </w:r>
      <w:r w:rsidRPr="00A66D33">
        <w:rPr>
          <w:rFonts w:hAnsi="標楷體" w:hint="eastAsia"/>
        </w:rPr>
        <w:t>，</w:t>
      </w:r>
      <w:r w:rsidRPr="00A66D33">
        <w:rPr>
          <w:rFonts w:hint="eastAsia"/>
        </w:rPr>
        <w:t>行政權獨大</w:t>
      </w:r>
      <w:r w:rsidR="001F2157" w:rsidRPr="00A66D33">
        <w:rPr>
          <w:rFonts w:hint="eastAsia"/>
        </w:rPr>
        <w:t>情形不絕如縷</w:t>
      </w:r>
      <w:r w:rsidR="001F2157" w:rsidRPr="00A66D33">
        <w:rPr>
          <w:rFonts w:hAnsi="標楷體" w:hint="eastAsia"/>
        </w:rPr>
        <w:t>，</w:t>
      </w:r>
      <w:r w:rsidR="00DE47D9" w:rsidRPr="00A66D33">
        <w:rPr>
          <w:rFonts w:hAnsi="標楷體" w:hint="eastAsia"/>
        </w:rPr>
        <w:t>長年以來</w:t>
      </w:r>
      <w:r w:rsidR="00F33098" w:rsidRPr="00A66D33">
        <w:rPr>
          <w:rFonts w:hAnsi="標楷體" w:hint="eastAsia"/>
        </w:rPr>
        <w:t>均</w:t>
      </w:r>
      <w:r w:rsidR="00DE47D9" w:rsidRPr="00A66D33">
        <w:rPr>
          <w:rFonts w:hAnsi="標楷體" w:hint="eastAsia"/>
        </w:rPr>
        <w:t>有賴監察權就行政權各項作為與法令加以監督</w:t>
      </w:r>
      <w:r w:rsidR="00F33098" w:rsidRPr="00A66D33">
        <w:rPr>
          <w:rFonts w:hAnsi="標楷體" w:hint="eastAsia"/>
        </w:rPr>
        <w:t>（</w:t>
      </w:r>
      <w:r w:rsidR="002550ED" w:rsidRPr="00A66D33">
        <w:rPr>
          <w:rFonts w:hAnsi="標楷體" w:hint="eastAsia"/>
        </w:rPr>
        <w:t>詳</w:t>
      </w:r>
      <w:r w:rsidR="00F33098" w:rsidRPr="00A66D33">
        <w:rPr>
          <w:rFonts w:hAnsi="標楷體" w:hint="eastAsia"/>
        </w:rPr>
        <w:t>如前述）</w:t>
      </w:r>
      <w:r w:rsidR="00DE47D9" w:rsidRPr="00A66D33">
        <w:rPr>
          <w:rFonts w:hAnsi="標楷體" w:hint="eastAsia"/>
        </w:rPr>
        <w:t>，</w:t>
      </w:r>
      <w:r w:rsidR="00714091" w:rsidRPr="00A66D33">
        <w:rPr>
          <w:rFonts w:hAnsi="標楷體" w:hint="eastAsia"/>
        </w:rPr>
        <w:t>從而，</w:t>
      </w:r>
      <w:r w:rsidR="00714091" w:rsidRPr="00A66D33">
        <w:rPr>
          <w:rFonts w:hint="eastAsia"/>
        </w:rPr>
        <w:t>本件解釋受理與否決定，就影響監察院作為憲法機關存續之抽象意義，</w:t>
      </w:r>
      <w:r w:rsidR="002550ED" w:rsidRPr="00A66D33">
        <w:rPr>
          <w:rFonts w:hint="eastAsia"/>
        </w:rPr>
        <w:t>特別</w:t>
      </w:r>
      <w:r w:rsidR="00714091" w:rsidRPr="00A66D33">
        <w:rPr>
          <w:rFonts w:hint="eastAsia"/>
        </w:rPr>
        <w:t>具有原則重要性</w:t>
      </w:r>
      <w:r w:rsidR="00714091" w:rsidRPr="00A66D33">
        <w:rPr>
          <w:rFonts w:hAnsi="標楷體" w:hint="eastAsia"/>
        </w:rPr>
        <w:t>，</w:t>
      </w:r>
      <w:r w:rsidR="00714091" w:rsidRPr="00A66D33">
        <w:rPr>
          <w:rFonts w:hint="eastAsia"/>
        </w:rPr>
        <w:t>司法權斷無違背長年以來憲政慣例</w:t>
      </w:r>
      <w:r w:rsidR="00714091" w:rsidRPr="00A66D33">
        <w:rPr>
          <w:rFonts w:hAnsi="標楷體" w:hint="eastAsia"/>
        </w:rPr>
        <w:t>，遭致世人嚴重譏評，進而剝奪監察院之法令違憲審查權，</w:t>
      </w:r>
      <w:r w:rsidR="00714091" w:rsidRPr="00A66D33">
        <w:rPr>
          <w:rFonts w:hint="eastAsia"/>
        </w:rPr>
        <w:t>而有不受理之空間。復就作成受理決定有無憲法意義觀點以觀，更係攸關司法院</w:t>
      </w:r>
      <w:r w:rsidR="002550ED" w:rsidRPr="00A66D33">
        <w:rPr>
          <w:rFonts w:hint="eastAsia"/>
        </w:rPr>
        <w:t>大法官</w:t>
      </w:r>
      <w:r w:rsidR="00714091" w:rsidRPr="00A66D33">
        <w:rPr>
          <w:rFonts w:hint="eastAsia"/>
        </w:rPr>
        <w:t>是否真誠仍需採大陸法系採</w:t>
      </w:r>
      <w:r w:rsidR="00714091" w:rsidRPr="00A66D33">
        <w:rPr>
          <w:rFonts w:hAnsi="標楷體" w:hint="eastAsia"/>
        </w:rPr>
        <w:t>「抽象違憲審查權」與否</w:t>
      </w:r>
      <w:r w:rsidR="002550ED" w:rsidRPr="00A66D33">
        <w:rPr>
          <w:rFonts w:hAnsi="標楷體" w:hint="eastAsia"/>
        </w:rPr>
        <w:t>，而全採英美法系之「具體違憲審查權」</w:t>
      </w:r>
      <w:r w:rsidR="00714091" w:rsidRPr="00A66D33">
        <w:rPr>
          <w:rFonts w:hAnsi="標楷體" w:hint="eastAsia"/>
        </w:rPr>
        <w:t>。質言之，</w:t>
      </w:r>
      <w:r w:rsidR="002550ED" w:rsidRPr="00A66D33">
        <w:rPr>
          <w:rFonts w:hAnsi="標楷體" w:hint="eastAsia"/>
        </w:rPr>
        <w:t>就「抽象違憲審查權」保障監察權</w:t>
      </w:r>
      <w:r w:rsidR="00714091" w:rsidRPr="00A66D33">
        <w:rPr>
          <w:rFonts w:hAnsi="標楷體" w:hint="eastAsia"/>
        </w:rPr>
        <w:t>違法審查與違憲審查之</w:t>
      </w:r>
      <w:r w:rsidR="002550ED" w:rsidRPr="00A66D33">
        <w:rPr>
          <w:rFonts w:hAnsi="標楷體" w:hint="eastAsia"/>
        </w:rPr>
        <w:t>具體</w:t>
      </w:r>
      <w:r w:rsidR="00714091" w:rsidRPr="00A66D33">
        <w:rPr>
          <w:rFonts w:hAnsi="標楷體" w:hint="eastAsia"/>
        </w:rPr>
        <w:t>存在，</w:t>
      </w:r>
      <w:r w:rsidR="002550ED" w:rsidRPr="00A66D33">
        <w:rPr>
          <w:rFonts w:hAnsi="標楷體" w:hint="eastAsia"/>
        </w:rPr>
        <w:t>從行政權監督之「抽象法令審查權」而論，在中華民國之</w:t>
      </w:r>
      <w:r w:rsidR="00714091" w:rsidRPr="00A66D33">
        <w:rPr>
          <w:rFonts w:hAnsi="標楷體" w:hint="eastAsia"/>
        </w:rPr>
        <w:t>現行體制下，是由監察院與司法院分</w:t>
      </w:r>
      <w:r w:rsidR="002550ED" w:rsidRPr="00A66D33">
        <w:rPr>
          <w:rFonts w:hAnsi="標楷體" w:hint="eastAsia"/>
        </w:rPr>
        <w:t>別</w:t>
      </w:r>
      <w:r w:rsidR="00714091" w:rsidRPr="00A66D33">
        <w:rPr>
          <w:rFonts w:hAnsi="標楷體" w:hint="eastAsia"/>
        </w:rPr>
        <w:t>掌</w:t>
      </w:r>
      <w:r w:rsidR="002550ED" w:rsidRPr="00A66D33">
        <w:rPr>
          <w:rFonts w:hAnsi="標楷體" w:hint="eastAsia"/>
        </w:rPr>
        <w:t>理</w:t>
      </w:r>
      <w:r w:rsidR="00714091" w:rsidRPr="00A66D33">
        <w:rPr>
          <w:rFonts w:hAnsi="標楷體" w:hint="eastAsia"/>
        </w:rPr>
        <w:t>。行政機關之行政行為若其行為</w:t>
      </w:r>
      <w:r w:rsidR="000E4E03" w:rsidRPr="00A66D33">
        <w:rPr>
          <w:rFonts w:hAnsi="標楷體" w:hint="eastAsia"/>
        </w:rPr>
        <w:t>涉及違反憲法</w:t>
      </w:r>
      <w:r w:rsidR="00714091" w:rsidRPr="00A66D33">
        <w:rPr>
          <w:rFonts w:hAnsi="標楷體" w:hint="eastAsia"/>
        </w:rPr>
        <w:t>，監察院應先審查其是否違法，若發見其行為違法又違憲，則監察院當然立即提出糾正與彈劾，其問題或當可立即處理解決</w:t>
      </w:r>
      <w:r w:rsidR="002550ED" w:rsidRPr="00A66D33">
        <w:rPr>
          <w:rFonts w:hAnsi="標楷體" w:hint="eastAsia"/>
        </w:rPr>
        <w:t>，若無從解決時則聲請司法院大法官解釋</w:t>
      </w:r>
      <w:r w:rsidR="00714091" w:rsidRPr="00A66D33">
        <w:rPr>
          <w:rFonts w:hAnsi="標楷體" w:hint="eastAsia"/>
        </w:rPr>
        <w:t>；然若行政</w:t>
      </w:r>
      <w:r w:rsidR="000E4E03" w:rsidRPr="00A66D33">
        <w:rPr>
          <w:rFonts w:hAnsi="標楷體" w:hint="eastAsia"/>
        </w:rPr>
        <w:t>行為</w:t>
      </w:r>
      <w:r w:rsidR="00A4346A" w:rsidRPr="00A66D33">
        <w:rPr>
          <w:rFonts w:hAnsi="標楷體" w:hint="eastAsia"/>
        </w:rPr>
        <w:t>係依據法令</w:t>
      </w:r>
      <w:r w:rsidR="000E4E03" w:rsidRPr="00A66D33">
        <w:rPr>
          <w:rFonts w:hAnsi="標楷體" w:hint="eastAsia"/>
        </w:rPr>
        <w:t>執行</w:t>
      </w:r>
      <w:r w:rsidR="00A4346A" w:rsidRPr="00A66D33">
        <w:rPr>
          <w:rFonts w:hAnsi="標楷體" w:hint="eastAsia"/>
        </w:rPr>
        <w:t>，並無違法，但該</w:t>
      </w:r>
      <w:r w:rsidR="000E4E03" w:rsidRPr="00A66D33">
        <w:rPr>
          <w:rFonts w:hAnsi="標楷體" w:hint="eastAsia"/>
        </w:rPr>
        <w:t>法令係</w:t>
      </w:r>
      <w:r w:rsidR="00714091" w:rsidRPr="00A66D33">
        <w:rPr>
          <w:rFonts w:hAnsi="標楷體" w:hint="eastAsia"/>
        </w:rPr>
        <w:t>違憲</w:t>
      </w:r>
      <w:r w:rsidR="000E4E03" w:rsidRPr="00A66D33">
        <w:rPr>
          <w:rFonts w:hAnsi="標楷體" w:hint="eastAsia"/>
        </w:rPr>
        <w:t>法令</w:t>
      </w:r>
      <w:r w:rsidR="00714091" w:rsidRPr="00A66D33">
        <w:rPr>
          <w:rFonts w:hAnsi="標楷體" w:hint="eastAsia"/>
        </w:rPr>
        <w:t>，</w:t>
      </w:r>
      <w:r w:rsidR="00A4346A" w:rsidRPr="00A66D33">
        <w:rPr>
          <w:rFonts w:hAnsi="標楷體" w:hint="eastAsia"/>
        </w:rPr>
        <w:t>因</w:t>
      </w:r>
      <w:r w:rsidR="00714091" w:rsidRPr="00A66D33">
        <w:rPr>
          <w:rFonts w:hAnsi="標楷體" w:hint="eastAsia"/>
        </w:rPr>
        <w:t>其違憲</w:t>
      </w:r>
      <w:r w:rsidR="002550ED" w:rsidRPr="00A66D33">
        <w:rPr>
          <w:rFonts w:hAnsi="標楷體" w:hint="eastAsia"/>
        </w:rPr>
        <w:t>時</w:t>
      </w:r>
      <w:r w:rsidR="00714091" w:rsidRPr="00A66D33">
        <w:rPr>
          <w:rFonts w:hAnsi="標楷體" w:hint="eastAsia"/>
        </w:rPr>
        <w:t>所依據的法令，係由立法院制定通過，或依據立法院授權所</w:t>
      </w:r>
      <w:r w:rsidR="00A377D2" w:rsidRPr="00A66D33">
        <w:rPr>
          <w:rFonts w:hAnsi="標楷體" w:hint="eastAsia"/>
        </w:rPr>
        <w:t>制定</w:t>
      </w:r>
      <w:r w:rsidR="00714091" w:rsidRPr="00A66D33">
        <w:rPr>
          <w:rFonts w:hAnsi="標楷體" w:hint="eastAsia"/>
        </w:rPr>
        <w:t>通過，而處理法令違憲問題，涉及否決立法行為效力，監察院自無從糾正與彈劾，僅能移送憲法唯一處理法令違憲之機關-司法院大法官審查，透過有權解釋憲法機關做出終局決定。</w:t>
      </w:r>
      <w:r w:rsidR="00714091" w:rsidRPr="00A66D33">
        <w:rPr>
          <w:rFonts w:hint="eastAsia"/>
        </w:rPr>
        <w:t>本件不應推翻歷年司法院大法官</w:t>
      </w:r>
      <w:r w:rsidR="00714091" w:rsidRPr="00A66D33">
        <w:rPr>
          <w:rFonts w:hint="eastAsia"/>
        </w:rPr>
        <w:lastRenderedPageBreak/>
        <w:t>處理監察院聲請法令違憲審查權之成例</w:t>
      </w:r>
      <w:r w:rsidR="00714091" w:rsidRPr="00A66D33">
        <w:rPr>
          <w:rFonts w:hAnsi="標楷體" w:hint="eastAsia"/>
        </w:rPr>
        <w:t>，</w:t>
      </w:r>
      <w:r w:rsidR="00714091" w:rsidRPr="00A66D33">
        <w:rPr>
          <w:rFonts w:hint="eastAsia"/>
        </w:rPr>
        <w:t>而拒絕受理。司法院大法官受憲法保</w:t>
      </w:r>
      <w:r w:rsidR="005A5FD6" w:rsidRPr="00A66D33">
        <w:rPr>
          <w:rFonts w:hint="eastAsia"/>
        </w:rPr>
        <w:t>障，承擔釋憲職責，應對中華民國憲法機關之</w:t>
      </w:r>
      <w:r w:rsidR="00714091" w:rsidRPr="00A66D33">
        <w:rPr>
          <w:rFonts w:hint="eastAsia"/>
        </w:rPr>
        <w:t>機關忠誠有基本信賴</w:t>
      </w:r>
      <w:r w:rsidR="00714091" w:rsidRPr="00A66D33">
        <w:rPr>
          <w:rFonts w:hAnsi="標楷體" w:hint="eastAsia"/>
        </w:rPr>
        <w:t>，</w:t>
      </w:r>
      <w:r w:rsidR="00714091" w:rsidRPr="00A66D33">
        <w:rPr>
          <w:rFonts w:hint="eastAsia"/>
        </w:rPr>
        <w:t>監察院不會無緣無故以侵害其他</w:t>
      </w:r>
      <w:r w:rsidR="005A5FD6" w:rsidRPr="00A66D33">
        <w:rPr>
          <w:rFonts w:hint="eastAsia"/>
        </w:rPr>
        <w:t>憲法</w:t>
      </w:r>
      <w:r w:rsidR="00714091" w:rsidRPr="00A66D33">
        <w:rPr>
          <w:rFonts w:hint="eastAsia"/>
        </w:rPr>
        <w:t>權力機關之核心職權為目的</w:t>
      </w:r>
      <w:r w:rsidR="00714091" w:rsidRPr="00A66D33">
        <w:rPr>
          <w:rFonts w:hAnsi="標楷體" w:hint="eastAsia"/>
        </w:rPr>
        <w:t>，</w:t>
      </w:r>
      <w:r w:rsidR="00714091" w:rsidRPr="00A66D33">
        <w:rPr>
          <w:rFonts w:hint="eastAsia"/>
        </w:rPr>
        <w:t>而聲請釋憲。本件聲請所涉及之</w:t>
      </w:r>
      <w:r w:rsidR="00A655E4" w:rsidRPr="00A66D33">
        <w:rPr>
          <w:rFonts w:hint="eastAsia"/>
        </w:rPr>
        <w:t>憲法機關</w:t>
      </w:r>
      <w:r w:rsidR="00714091" w:rsidRPr="00A66D33">
        <w:rPr>
          <w:rFonts w:hint="eastAsia"/>
        </w:rPr>
        <w:t>違憲行為，或應</w:t>
      </w:r>
      <w:r w:rsidR="00A655E4" w:rsidRPr="00A66D33">
        <w:rPr>
          <w:rFonts w:hint="eastAsia"/>
        </w:rPr>
        <w:t>僅</w:t>
      </w:r>
      <w:r w:rsidR="00714091" w:rsidRPr="00A66D33">
        <w:rPr>
          <w:rFonts w:hint="eastAsia"/>
        </w:rPr>
        <w:t>視為僅是國家權力機關，因一時時空環境，為所謂</w:t>
      </w:r>
      <w:r w:rsidR="00714091" w:rsidRPr="00A66D33">
        <w:rPr>
          <w:rFonts w:hAnsi="標楷體" w:hint="eastAsia"/>
        </w:rPr>
        <w:t>「</w:t>
      </w:r>
      <w:r w:rsidR="00714091" w:rsidRPr="00A66D33">
        <w:rPr>
          <w:rFonts w:hint="eastAsia"/>
        </w:rPr>
        <w:t>轉型正義</w:t>
      </w:r>
      <w:r w:rsidR="00714091" w:rsidRPr="00A66D33">
        <w:rPr>
          <w:rFonts w:hAnsi="標楷體" w:hint="eastAsia"/>
        </w:rPr>
        <w:t>」</w:t>
      </w:r>
      <w:r w:rsidR="00714091" w:rsidRPr="00A66D33">
        <w:rPr>
          <w:rFonts w:hint="eastAsia"/>
        </w:rPr>
        <w:t>而為迷惘與困惑之舉</w:t>
      </w:r>
      <w:r w:rsidR="00714091" w:rsidRPr="00A66D33">
        <w:rPr>
          <w:rFonts w:hAnsi="標楷體" w:hint="eastAsia"/>
        </w:rPr>
        <w:t>，</w:t>
      </w:r>
      <w:r w:rsidR="00714091" w:rsidRPr="00A66D33">
        <w:rPr>
          <w:rFonts w:hint="eastAsia"/>
        </w:rPr>
        <w:t>亦即在本件釋憲聲請書所稱</w:t>
      </w:r>
      <w:r w:rsidR="00714091" w:rsidRPr="00A66D33">
        <w:rPr>
          <w:rFonts w:hAnsi="標楷體" w:hint="eastAsia"/>
        </w:rPr>
        <w:t>：「回顧歷史，人類錯誤多在愚昧中不斷重複發生，採用違法手段追求正義，正義不因而會實現</w:t>
      </w:r>
      <w:r w:rsidR="00714091" w:rsidRPr="00A66D33">
        <w:rPr>
          <w:rFonts w:hAnsi="標楷體"/>
        </w:rPr>
        <w:t>……</w:t>
      </w:r>
      <w:r w:rsidR="00714091" w:rsidRPr="00A66D33">
        <w:rPr>
          <w:rFonts w:hAnsi="標楷體" w:hint="eastAsia"/>
        </w:rPr>
        <w:t>追尋符合自然法的實質正義，是每一個法律工作者忠誠於法律女神的天職，黑格爾曾說，國家是道德理念的現實─即作為顯現可見與明白的實體性意志之道德精神，這道德精神思索自身並知道自身 ，做為國家的構成員自有義務，探索此『道德精神』」。當</w:t>
      </w:r>
      <w:r w:rsidR="00714091" w:rsidRPr="00A66D33">
        <w:rPr>
          <w:rFonts w:hint="eastAsia"/>
        </w:rPr>
        <w:t>釋憲機關一旦對於憲法意旨有所闡明，各受拘束之</w:t>
      </w:r>
      <w:r w:rsidR="005A5FD6" w:rsidRPr="00A66D33">
        <w:rPr>
          <w:rFonts w:hint="eastAsia"/>
        </w:rPr>
        <w:t>當事人</w:t>
      </w:r>
      <w:r w:rsidR="005A5FD6" w:rsidRPr="00A66D33">
        <w:rPr>
          <w:rFonts w:hAnsi="標楷體" w:hint="eastAsia"/>
        </w:rPr>
        <w:t>（</w:t>
      </w:r>
      <w:r w:rsidR="005A5FD6" w:rsidRPr="00A66D33">
        <w:rPr>
          <w:rFonts w:hint="eastAsia"/>
        </w:rPr>
        <w:t>憲法機關</w:t>
      </w:r>
      <w:r w:rsidR="005A5FD6" w:rsidRPr="00A66D33">
        <w:rPr>
          <w:rFonts w:hAnsi="標楷體" w:hint="eastAsia"/>
        </w:rPr>
        <w:t>）</w:t>
      </w:r>
      <w:r w:rsidR="005A5FD6" w:rsidRPr="00A66D33">
        <w:rPr>
          <w:rFonts w:hint="eastAsia"/>
        </w:rPr>
        <w:t>及</w:t>
      </w:r>
      <w:r w:rsidR="00714091" w:rsidRPr="00A66D33">
        <w:rPr>
          <w:rFonts w:hint="eastAsia"/>
        </w:rPr>
        <w:t>各</w:t>
      </w:r>
      <w:r w:rsidR="005A5FD6" w:rsidRPr="00A66D33">
        <w:rPr>
          <w:rFonts w:hint="eastAsia"/>
        </w:rPr>
        <w:t>利害關係人</w:t>
      </w:r>
      <w:r w:rsidR="00714091" w:rsidRPr="00A66D33">
        <w:rPr>
          <w:rFonts w:hint="eastAsia"/>
        </w:rPr>
        <w:t>與國民，當會相信司法院大法官具有共同真誠維護憲法之意願</w:t>
      </w:r>
      <w:r w:rsidR="00714091" w:rsidRPr="00A66D33">
        <w:rPr>
          <w:rStyle w:val="aff"/>
        </w:rPr>
        <w:footnoteReference w:id="58"/>
      </w:r>
      <w:r w:rsidR="00714091" w:rsidRPr="00A66D33">
        <w:rPr>
          <w:rFonts w:hAnsi="標楷體" w:hint="eastAsia"/>
        </w:rPr>
        <w:t>，</w:t>
      </w:r>
      <w:r w:rsidR="00714091" w:rsidRPr="00A66D33">
        <w:rPr>
          <w:rFonts w:hint="eastAsia"/>
        </w:rPr>
        <w:t>並會對於司法院大法官充滿深深敬意與理解</w:t>
      </w:r>
      <w:r w:rsidR="00714091" w:rsidRPr="00A66D33">
        <w:rPr>
          <w:rStyle w:val="aff"/>
        </w:rPr>
        <w:footnoteReference w:id="59"/>
      </w:r>
      <w:r w:rsidR="00714091" w:rsidRPr="00A66D33">
        <w:rPr>
          <w:rFonts w:hint="eastAsia"/>
        </w:rPr>
        <w:t>，亦將有利於</w:t>
      </w:r>
      <w:r w:rsidR="00714091" w:rsidRPr="00A66D33">
        <w:rPr>
          <w:rFonts w:hint="eastAsia"/>
        </w:rPr>
        <w:lastRenderedPageBreak/>
        <w:t>鞏固司法</w:t>
      </w:r>
      <w:r w:rsidR="00A655E4" w:rsidRPr="00A66D33">
        <w:rPr>
          <w:rFonts w:hint="eastAsia"/>
        </w:rPr>
        <w:t>權</w:t>
      </w:r>
      <w:r w:rsidR="00714091" w:rsidRPr="00A66D33">
        <w:rPr>
          <w:rFonts w:hint="eastAsia"/>
        </w:rPr>
        <w:t>威信</w:t>
      </w:r>
      <w:r w:rsidR="00714091" w:rsidRPr="00A66D33">
        <w:rPr>
          <w:rFonts w:hAnsi="標楷體" w:hint="eastAsia"/>
        </w:rPr>
        <w:t>，</w:t>
      </w:r>
      <w:r w:rsidR="00714091" w:rsidRPr="00A66D33">
        <w:rPr>
          <w:rFonts w:hint="eastAsia"/>
        </w:rPr>
        <w:t>提升國民全體對司法院大法官信賴感</w:t>
      </w:r>
      <w:r w:rsidR="00714091" w:rsidRPr="00A66D33">
        <w:rPr>
          <w:rFonts w:hAnsi="標楷體" w:hint="eastAsia"/>
        </w:rPr>
        <w:t>，就</w:t>
      </w:r>
      <w:r w:rsidR="00714091" w:rsidRPr="00A66D33">
        <w:rPr>
          <w:rFonts w:hint="eastAsia"/>
        </w:rPr>
        <w:t>我國民主政治賡續與進化實具有劃時代之重大憲政意義</w:t>
      </w:r>
      <w:r w:rsidR="00714091" w:rsidRPr="00A66D33">
        <w:rPr>
          <w:rFonts w:hAnsi="標楷體" w:hint="eastAsia"/>
        </w:rPr>
        <w:t>。</w:t>
      </w:r>
    </w:p>
    <w:p w:rsidR="0049299A" w:rsidRPr="00A66D33" w:rsidRDefault="00582143" w:rsidP="00582143">
      <w:pPr>
        <w:pStyle w:val="a0"/>
        <w:numPr>
          <w:ilvl w:val="0"/>
          <w:numId w:val="0"/>
        </w:numPr>
        <w:jc w:val="center"/>
      </w:pPr>
      <w:r w:rsidRPr="00A66D33">
        <w:rPr>
          <w:noProof/>
        </w:rPr>
        <w:lastRenderedPageBreak/>
        <mc:AlternateContent>
          <mc:Choice Requires="wps">
            <w:drawing>
              <wp:anchor distT="0" distB="0" distL="114300" distR="114300" simplePos="0" relativeHeight="251659264" behindDoc="0" locked="0" layoutInCell="1" allowOverlap="1" wp14:anchorId="5C757AC5" wp14:editId="21F3B335">
                <wp:simplePos x="0" y="0"/>
                <wp:positionH relativeFrom="column">
                  <wp:posOffset>4935509</wp:posOffset>
                </wp:positionH>
                <wp:positionV relativeFrom="paragraph">
                  <wp:posOffset>-390525</wp:posOffset>
                </wp:positionV>
                <wp:extent cx="685800" cy="140398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3985"/>
                        </a:xfrm>
                        <a:prstGeom prst="rect">
                          <a:avLst/>
                        </a:prstGeom>
                        <a:solidFill>
                          <a:srgbClr val="FFFFFF"/>
                        </a:solidFill>
                        <a:ln w="9525">
                          <a:solidFill>
                            <a:srgbClr val="000000"/>
                          </a:solidFill>
                          <a:miter lim="800000"/>
                          <a:headEnd/>
                          <a:tailEnd/>
                        </a:ln>
                      </wps:spPr>
                      <wps:txbx>
                        <w:txbxContent>
                          <w:p w:rsidR="00684EAD" w:rsidRDefault="00684EAD" w:rsidP="00582143">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57AC5" id="_x0000_t202" coordsize="21600,21600" o:spt="202" path="m,l,21600r21600,l21600,xe">
                <v:stroke joinstyle="miter"/>
                <v:path gradientshapeok="t" o:connecttype="rect"/>
              </v:shapetype>
              <v:shape id="文字方塊 2" o:spid="_x0000_s1026" type="#_x0000_t202" style="position:absolute;left:0;text-align:left;margin-left:388.6pt;margin-top:-30.75pt;width:5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">
                <v:textbox style="mso-fit-shape-to-text:t">
                  <w:txbxContent>
                    <w:p w:rsidR="00684EAD" w:rsidRDefault="00684EAD" w:rsidP="00582143">
                      <w:pPr>
                        <w:jc w:val="center"/>
                      </w:pPr>
                      <w:r>
                        <w:rPr>
                          <w:rFonts w:hint="eastAsia"/>
                        </w:rPr>
                        <w:t>附件</w:t>
                      </w:r>
                    </w:p>
                  </w:txbxContent>
                </v:textbox>
              </v:shape>
            </w:pict>
          </mc:Fallback>
        </mc:AlternateContent>
      </w:r>
      <w:r w:rsidRPr="00A66D33">
        <w:rPr>
          <w:rFonts w:hint="eastAsia"/>
        </w:rPr>
        <w:t>監察院聲請大法官解釋案一覽表</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54"/>
        <w:gridCol w:w="2269"/>
        <w:gridCol w:w="1131"/>
        <w:gridCol w:w="1869"/>
        <w:gridCol w:w="2267"/>
      </w:tblGrid>
      <w:tr w:rsidR="00A66D33" w:rsidRPr="00A66D33" w:rsidTr="00582143">
        <w:trPr>
          <w:trHeight w:val="936"/>
          <w:tblHeader/>
          <w:jc w:val="center"/>
        </w:trPr>
        <w:tc>
          <w:tcPr>
            <w:tcW w:w="274" w:type="pct"/>
            <w:vAlign w:val="center"/>
          </w:tcP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582143" w:rsidRPr="00A66D33" w:rsidRDefault="00582143" w:rsidP="00582143">
            <w:pPr>
              <w:pStyle w:val="120"/>
              <w:jc w:val="center"/>
              <w:rPr>
                <w:b/>
              </w:rPr>
            </w:pPr>
            <w:r w:rsidRPr="00A66D33">
              <w:rPr>
                <w:rFonts w:hint="eastAsia"/>
                <w:b/>
              </w:rPr>
              <w:t>編號</w:t>
            </w:r>
          </w:p>
        </w:tc>
        <w:tc>
          <w:tcPr>
            <w:tcW w:w="674" w:type="pct"/>
            <w:vAlign w:val="center"/>
          </w:tcPr>
          <w:p w:rsidR="00582143" w:rsidRPr="00A66D33" w:rsidRDefault="00582143" w:rsidP="00582143">
            <w:pPr>
              <w:pStyle w:val="120"/>
              <w:jc w:val="center"/>
              <w:rPr>
                <w:b/>
              </w:rPr>
            </w:pPr>
            <w:r w:rsidRPr="00A66D33">
              <w:rPr>
                <w:rFonts w:hint="eastAsia"/>
                <w:b/>
              </w:rPr>
              <w:t>院會決議</w:t>
            </w:r>
          </w:p>
          <w:p w:rsidR="00582143" w:rsidRPr="00A66D33" w:rsidRDefault="00582143" w:rsidP="00582143">
            <w:pPr>
              <w:pStyle w:val="120"/>
              <w:jc w:val="center"/>
              <w:rPr>
                <w:b/>
              </w:rPr>
            </w:pPr>
            <w:r w:rsidRPr="00A66D33">
              <w:rPr>
                <w:rFonts w:hint="eastAsia"/>
                <w:b/>
              </w:rPr>
              <w:t>會次</w:t>
            </w:r>
          </w:p>
        </w:tc>
        <w:tc>
          <w:tcPr>
            <w:tcW w:w="1220" w:type="pct"/>
            <w:vAlign w:val="center"/>
          </w:tcPr>
          <w:p w:rsidR="00582143" w:rsidRPr="00A66D33" w:rsidRDefault="00582143" w:rsidP="00582143">
            <w:pPr>
              <w:pStyle w:val="120"/>
              <w:jc w:val="center"/>
              <w:rPr>
                <w:b/>
              </w:rPr>
            </w:pPr>
            <w:r w:rsidRPr="00A66D33">
              <w:rPr>
                <w:rFonts w:hint="eastAsia"/>
                <w:b/>
              </w:rPr>
              <w:t>聲請案由/解釋爭點</w:t>
            </w:r>
          </w:p>
        </w:tc>
        <w:tc>
          <w:tcPr>
            <w:tcW w:w="608" w:type="pct"/>
            <w:vAlign w:val="center"/>
          </w:tcPr>
          <w:p w:rsidR="00582143" w:rsidRPr="00A66D33" w:rsidRDefault="00582143" w:rsidP="00582143">
            <w:pPr>
              <w:pStyle w:val="120"/>
              <w:jc w:val="center"/>
              <w:rPr>
                <w:b/>
              </w:rPr>
            </w:pPr>
            <w:r w:rsidRPr="00A66D33">
              <w:rPr>
                <w:rFonts w:hint="eastAsia"/>
                <w:b/>
              </w:rPr>
              <w:t>提案人/</w:t>
            </w:r>
          </w:p>
          <w:p w:rsidR="00582143" w:rsidRPr="00A66D33" w:rsidRDefault="00582143" w:rsidP="00582143">
            <w:pPr>
              <w:pStyle w:val="120"/>
              <w:jc w:val="center"/>
              <w:rPr>
                <w:b/>
              </w:rPr>
            </w:pPr>
            <w:r w:rsidRPr="00A66D33">
              <w:rPr>
                <w:rFonts w:hint="eastAsia"/>
                <w:b/>
              </w:rPr>
              <w:t>單位</w:t>
            </w:r>
          </w:p>
        </w:tc>
        <w:tc>
          <w:tcPr>
            <w:tcW w:w="1005" w:type="pct"/>
            <w:vAlign w:val="center"/>
          </w:tcPr>
          <w:p w:rsidR="00582143" w:rsidRPr="00A66D33" w:rsidRDefault="00582143" w:rsidP="00582143">
            <w:pPr>
              <w:pStyle w:val="120"/>
              <w:jc w:val="center"/>
              <w:rPr>
                <w:b/>
              </w:rPr>
            </w:pPr>
            <w:r w:rsidRPr="00A66D33">
              <w:rPr>
                <w:rFonts w:hint="eastAsia"/>
                <w:b/>
              </w:rPr>
              <w:t>大法官解釋</w:t>
            </w:r>
          </w:p>
        </w:tc>
        <w:tc>
          <w:tcPr>
            <w:tcW w:w="1219" w:type="pct"/>
            <w:vAlign w:val="center"/>
          </w:tcPr>
          <w:p w:rsidR="00582143" w:rsidRPr="00A66D33" w:rsidRDefault="00582143" w:rsidP="00582143">
            <w:pPr>
              <w:pStyle w:val="120"/>
              <w:jc w:val="center"/>
              <w:rPr>
                <w:b/>
              </w:rPr>
            </w:pPr>
            <w:r w:rsidRPr="00A66D33">
              <w:rPr>
                <w:rFonts w:hint="eastAsia"/>
                <w:b/>
              </w:rPr>
              <w:t>備註</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01</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公務員得兼新聞紙類等之發行人、編輯？</w:t>
            </w:r>
          </w:p>
        </w:tc>
        <w:tc>
          <w:tcPr>
            <w:tcW w:w="608" w:type="pct"/>
          </w:tcPr>
          <w:p w:rsidR="00582143" w:rsidRPr="00A66D33" w:rsidRDefault="00582143" w:rsidP="00582143">
            <w:pPr>
              <w:pStyle w:val="120"/>
            </w:pP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釋字第6號</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41年9月29日</w:t>
            </w:r>
          </w:p>
        </w:tc>
        <w:tc>
          <w:tcPr>
            <w:tcW w:w="1219" w:type="pct"/>
            <w:vMerge w:val="restart"/>
          </w:tcPr>
          <w:p w:rsidR="00582143" w:rsidRPr="00A66D33" w:rsidRDefault="00582143" w:rsidP="00582143">
            <w:pPr>
              <w:pStyle w:val="120"/>
            </w:pPr>
            <w:r w:rsidRPr="00A66D33">
              <w:rPr>
                <w:rFonts w:hint="eastAsia"/>
              </w:rPr>
              <w:t>此三案係行憲前監察院函請司法院解釋，行憲後司法院大法官會議議決解釋案。</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02</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憲法第103條「公職」涵義？</w:t>
            </w:r>
          </w:p>
        </w:tc>
        <w:tc>
          <w:tcPr>
            <w:tcW w:w="608" w:type="pct"/>
          </w:tcPr>
          <w:p w:rsidR="00582143" w:rsidRPr="00A66D33" w:rsidRDefault="00582143" w:rsidP="00582143">
            <w:pPr>
              <w:pStyle w:val="120"/>
            </w:pP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釋字第19號</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42年6月3日</w:t>
            </w:r>
          </w:p>
        </w:tc>
        <w:tc>
          <w:tcPr>
            <w:tcW w:w="1219" w:type="pct"/>
            <w:vMerge/>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03</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省黨部等團體之主任委員或理事，公立醫院院長、醫師為憲法第103條「公職」？</w:t>
            </w:r>
          </w:p>
        </w:tc>
        <w:tc>
          <w:tcPr>
            <w:tcW w:w="608" w:type="pct"/>
          </w:tcPr>
          <w:p w:rsidR="00582143" w:rsidRPr="00A66D33" w:rsidRDefault="00582143" w:rsidP="00582143">
            <w:pPr>
              <w:pStyle w:val="120"/>
            </w:pP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釋字第20號</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42年7月10日</w:t>
            </w:r>
          </w:p>
        </w:tc>
        <w:tc>
          <w:tcPr>
            <w:tcW w:w="1219" w:type="pct"/>
            <w:vMerge/>
          </w:tcPr>
          <w:p w:rsidR="00582143" w:rsidRPr="00A66D33" w:rsidRDefault="00582143" w:rsidP="00582143">
            <w:pPr>
              <w:pStyle w:val="120"/>
            </w:pPr>
          </w:p>
        </w:tc>
      </w:tr>
      <w:tr w:rsidR="00A66D33" w:rsidRPr="00A66D33" w:rsidTr="00582143">
        <w:trPr>
          <w:jc w:val="center"/>
        </w:trPr>
        <w:tc>
          <w:tcPr>
            <w:tcW w:w="274" w:type="pct"/>
            <w:vMerge w:val="restart"/>
          </w:tcPr>
          <w:p w:rsidR="00582143" w:rsidRPr="00A66D33" w:rsidRDefault="00582143" w:rsidP="00582143">
            <w:pPr>
              <w:pStyle w:val="120"/>
            </w:pPr>
            <w:r w:rsidRPr="00A66D33">
              <w:rPr>
                <w:rFonts w:hint="eastAsia"/>
              </w:rPr>
              <w:t>04</w:t>
            </w:r>
          </w:p>
          <w:p w:rsidR="00582143" w:rsidRPr="00A66D33" w:rsidRDefault="00582143" w:rsidP="00582143">
            <w:pPr>
              <w:pStyle w:val="120"/>
            </w:pPr>
          </w:p>
        </w:tc>
        <w:tc>
          <w:tcPr>
            <w:tcW w:w="674" w:type="pct"/>
          </w:tcPr>
          <w:p w:rsidR="00582143" w:rsidRPr="00A66D33" w:rsidRDefault="00582143" w:rsidP="00582143">
            <w:pPr>
              <w:pStyle w:val="120"/>
            </w:pPr>
            <w:r w:rsidRPr="00A66D33">
              <w:rPr>
                <w:rFonts w:hint="eastAsia"/>
              </w:rPr>
              <w:t>38年3月24日監察院第1屆第45次會議</w:t>
            </w:r>
          </w:p>
        </w:tc>
        <w:tc>
          <w:tcPr>
            <w:tcW w:w="1220" w:type="pct"/>
          </w:tcPr>
          <w:p w:rsidR="00582143" w:rsidRPr="00A66D33" w:rsidRDefault="00582143" w:rsidP="00582143">
            <w:pPr>
              <w:pStyle w:val="120"/>
            </w:pPr>
            <w:r w:rsidRPr="00A66D33">
              <w:rPr>
                <w:rFonts w:hint="eastAsia"/>
              </w:rPr>
              <w:t>監察院有無向立法院提案權。</w:t>
            </w:r>
          </w:p>
        </w:tc>
        <w:tc>
          <w:tcPr>
            <w:tcW w:w="608" w:type="pct"/>
          </w:tcPr>
          <w:p w:rsidR="00582143" w:rsidRPr="00A66D33" w:rsidRDefault="00582143" w:rsidP="00582143">
            <w:pPr>
              <w:pStyle w:val="120"/>
            </w:pPr>
            <w:r w:rsidRPr="00A66D33">
              <w:rPr>
                <w:rFonts w:hint="eastAsia"/>
              </w:rPr>
              <w:t>孫委員玉琳、黃委員寶實、王委員向辰等3委員</w:t>
            </w:r>
          </w:p>
        </w:tc>
        <w:tc>
          <w:tcPr>
            <w:tcW w:w="1005" w:type="pct"/>
            <w:vMerge w:val="restar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釋字第3號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41年5月21日</w:t>
            </w:r>
          </w:p>
        </w:tc>
        <w:tc>
          <w:tcPr>
            <w:tcW w:w="1219" w:type="pct"/>
            <w:vMerge w:val="restart"/>
          </w:tcPr>
          <w:p w:rsidR="00582143" w:rsidRPr="00A66D33" w:rsidRDefault="00582143" w:rsidP="00582143">
            <w:pPr>
              <w:pStyle w:val="120"/>
            </w:pPr>
            <w:r w:rsidRPr="00A66D33">
              <w:rPr>
                <w:rFonts w:hint="eastAsia"/>
              </w:rPr>
              <w:t>1.此兩案係監察院先後二次函請司法院解釋，經其合併研議。</w:t>
            </w:r>
          </w:p>
          <w:p w:rsidR="00582143" w:rsidRPr="00A66D33" w:rsidRDefault="00582143" w:rsidP="00582143">
            <w:pPr>
              <w:pStyle w:val="120"/>
            </w:pPr>
            <w:r w:rsidRPr="00A66D33">
              <w:rPr>
                <w:rFonts w:hint="eastAsia"/>
              </w:rPr>
              <w:t>2.監察院在第一案提出之前，曾於民國37年7月2日監察院第1屆第16次會議中，由監察委員郭昌鶴等50人臨時動議提：依照憲法第44條之規定，咨請總統召集立法、司法、監察三院院長會商解決監察院提出法律案問題，當經決議通過，由院咨請總統辦理，經總統於同年7月10日召集三院院長會商結果，僉認本案仍以交大法官會議解釋為妥。</w:t>
            </w:r>
          </w:p>
        </w:tc>
      </w:tr>
      <w:tr w:rsidR="00A66D33" w:rsidRPr="00A66D33" w:rsidTr="00582143">
        <w:trPr>
          <w:jc w:val="center"/>
        </w:trPr>
        <w:tc>
          <w:tcPr>
            <w:tcW w:w="274" w:type="pct"/>
            <w:vMerge/>
          </w:tcPr>
          <w:p w:rsidR="00582143" w:rsidRPr="00A66D33" w:rsidRDefault="00582143" w:rsidP="00582143">
            <w:pPr>
              <w:pStyle w:val="120"/>
            </w:pPr>
          </w:p>
        </w:tc>
        <w:tc>
          <w:tcPr>
            <w:tcW w:w="674" w:type="pct"/>
          </w:tcPr>
          <w:p w:rsidR="00582143" w:rsidRPr="00A66D33" w:rsidRDefault="00582143" w:rsidP="00582143">
            <w:pPr>
              <w:pStyle w:val="120"/>
            </w:pPr>
            <w:r w:rsidRPr="00A66D33">
              <w:rPr>
                <w:rFonts w:hint="eastAsia"/>
              </w:rPr>
              <w:t>39年5月30日監察院第1屆第84次會議</w:t>
            </w:r>
          </w:p>
        </w:tc>
        <w:tc>
          <w:tcPr>
            <w:tcW w:w="1220" w:type="pct"/>
          </w:tcPr>
          <w:p w:rsidR="00582143" w:rsidRPr="00A66D33" w:rsidRDefault="00582143" w:rsidP="00582143">
            <w:pPr>
              <w:pStyle w:val="120"/>
            </w:pPr>
            <w:r w:rsidRPr="00A66D33">
              <w:rPr>
                <w:rFonts w:hint="eastAsia"/>
              </w:rPr>
              <w:t>監察院得向立法院提案。</w:t>
            </w:r>
          </w:p>
        </w:tc>
        <w:tc>
          <w:tcPr>
            <w:tcW w:w="608" w:type="pct"/>
          </w:tcPr>
          <w:p w:rsidR="00582143" w:rsidRPr="00A66D33" w:rsidRDefault="00582143" w:rsidP="00582143">
            <w:pPr>
              <w:pStyle w:val="120"/>
            </w:pPr>
            <w:r w:rsidRPr="00A66D33">
              <w:rPr>
                <w:rFonts w:hint="eastAsia"/>
              </w:rPr>
              <w:t>監察法令研究小組(原案為丘委員念臺等3委員提)</w:t>
            </w:r>
          </w:p>
        </w:tc>
        <w:tc>
          <w:tcPr>
            <w:tcW w:w="1005" w:type="pct"/>
            <w:vMerge/>
          </w:tcPr>
          <w:p w:rsidR="00582143" w:rsidRPr="00A66D33" w:rsidRDefault="00582143" w:rsidP="00582143">
            <w:pPr>
              <w:pStyle w:val="120"/>
            </w:pPr>
          </w:p>
        </w:tc>
        <w:tc>
          <w:tcPr>
            <w:tcW w:w="1219" w:type="pct"/>
            <w:vMerge/>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05</w:t>
            </w:r>
          </w:p>
        </w:tc>
        <w:tc>
          <w:tcPr>
            <w:tcW w:w="674" w:type="pct"/>
          </w:tcPr>
          <w:p w:rsidR="00582143" w:rsidRPr="00A66D33" w:rsidRDefault="00582143" w:rsidP="00582143">
            <w:pPr>
              <w:pStyle w:val="120"/>
            </w:pPr>
            <w:r w:rsidRPr="00A66D33">
              <w:rPr>
                <w:rFonts w:hint="eastAsia"/>
              </w:rPr>
              <w:t>39年5月30日監察院第1屆第84次會議</w:t>
            </w:r>
          </w:p>
        </w:tc>
        <w:tc>
          <w:tcPr>
            <w:tcW w:w="1220" w:type="pct"/>
          </w:tcPr>
          <w:p w:rsidR="00582143" w:rsidRPr="00A66D33" w:rsidRDefault="00582143" w:rsidP="00582143">
            <w:pPr>
              <w:pStyle w:val="120"/>
            </w:pPr>
            <w:r w:rsidRPr="00A66D33">
              <w:rPr>
                <w:rFonts w:hint="eastAsia"/>
              </w:rPr>
              <w:t>公務員之涵義及民意代表暨自治人員是否為監察權行使之對象。</w:t>
            </w:r>
          </w:p>
        </w:tc>
        <w:tc>
          <w:tcPr>
            <w:tcW w:w="608" w:type="pct"/>
          </w:tcPr>
          <w:p w:rsidR="00582143" w:rsidRPr="00A66D33" w:rsidRDefault="00582143" w:rsidP="00582143">
            <w:pPr>
              <w:pStyle w:val="120"/>
            </w:pPr>
            <w:r w:rsidRPr="00A66D33">
              <w:rPr>
                <w:rFonts w:hint="eastAsia"/>
              </w:rPr>
              <w:t>監察法令研究小組</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釋字第14號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42年3月21日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06</w:t>
            </w:r>
          </w:p>
        </w:tc>
        <w:tc>
          <w:tcPr>
            <w:tcW w:w="674" w:type="pct"/>
          </w:tcPr>
          <w:p w:rsidR="00582143" w:rsidRPr="00A66D33" w:rsidRDefault="00582143" w:rsidP="00582143">
            <w:pPr>
              <w:pStyle w:val="120"/>
            </w:pPr>
            <w:r w:rsidRPr="00A66D33">
              <w:rPr>
                <w:rFonts w:hint="eastAsia"/>
              </w:rPr>
              <w:t>41年10月15日監察院第1屆第228次會議</w:t>
            </w:r>
          </w:p>
        </w:tc>
        <w:tc>
          <w:tcPr>
            <w:tcW w:w="1220" w:type="pct"/>
          </w:tcPr>
          <w:p w:rsidR="00582143" w:rsidRPr="00A66D33" w:rsidRDefault="00582143" w:rsidP="00582143">
            <w:pPr>
              <w:pStyle w:val="120"/>
            </w:pPr>
            <w:r w:rsidRPr="00A66D33">
              <w:rPr>
                <w:rFonts w:hint="eastAsia"/>
              </w:rPr>
              <w:t>關於憲法第81條所稱之法官是否包含法院組織法第40條第2項所規定之實任檢察官在內。</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釋字第13號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42年1月31日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lastRenderedPageBreak/>
              <w:t>07</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為省縣議會議長是否為監察權行使之對象。</w:t>
            </w:r>
          </w:p>
        </w:tc>
        <w:tc>
          <w:tcPr>
            <w:tcW w:w="608" w:type="pct"/>
          </w:tcPr>
          <w:p w:rsidR="00582143" w:rsidRPr="00A66D33" w:rsidRDefault="00582143" w:rsidP="00582143">
            <w:pPr>
              <w:pStyle w:val="120"/>
            </w:pPr>
            <w:r w:rsidRPr="00A66D33">
              <w:rPr>
                <w:rFonts w:hint="eastAsia"/>
              </w:rPr>
              <w:t>張委員一中、何委員濟周</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釋字第33號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43年4月2日</w:t>
            </w:r>
          </w:p>
        </w:tc>
        <w:tc>
          <w:tcPr>
            <w:tcW w:w="1219" w:type="pct"/>
          </w:tcPr>
          <w:p w:rsidR="00582143" w:rsidRPr="00A66D33" w:rsidRDefault="00582143" w:rsidP="00582143">
            <w:pPr>
              <w:pStyle w:val="120"/>
            </w:pPr>
            <w:r w:rsidRPr="00A66D33">
              <w:t>本案係由監察委員函監察院秘書處</w:t>
            </w:r>
            <w:r w:rsidRPr="00A66D33">
              <w:rPr>
                <w:rFonts w:hint="eastAsia"/>
              </w:rPr>
              <w:t>，於42年4月21日</w:t>
            </w:r>
            <w:r w:rsidRPr="00A66D33">
              <w:t>轉函司法院解釋</w:t>
            </w:r>
            <w:r w:rsidRPr="00A66D33">
              <w:rPr>
                <w:rFonts w:hint="eastAsia"/>
              </w:rPr>
              <w:t>，</w:t>
            </w:r>
            <w:r w:rsidRPr="00A66D33">
              <w:t>未提監察院會議討論</w:t>
            </w:r>
            <w:r w:rsidRPr="00A66D33">
              <w:rPr>
                <w:rFonts w:hint="eastAsia"/>
              </w:rPr>
              <w:t>。</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08</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高等法院及地方法院之民刑訴訟，併由司法行政部主管，是否與憲法第77條之規定相違背。</w:t>
            </w:r>
          </w:p>
        </w:tc>
        <w:tc>
          <w:tcPr>
            <w:tcW w:w="608" w:type="pct"/>
          </w:tcPr>
          <w:p w:rsidR="00582143" w:rsidRPr="00A66D33" w:rsidRDefault="00582143" w:rsidP="00582143">
            <w:pPr>
              <w:pStyle w:val="120"/>
            </w:pPr>
            <w:r w:rsidRPr="00A66D33">
              <w:rPr>
                <w:rFonts w:hint="eastAsia"/>
              </w:rPr>
              <w:t>酆委員景福等51委員</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釋字第86號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49年8月15日</w:t>
            </w:r>
          </w:p>
        </w:tc>
        <w:tc>
          <w:tcPr>
            <w:tcW w:w="1219" w:type="pct"/>
          </w:tcPr>
          <w:p w:rsidR="00582143" w:rsidRPr="00A66D33" w:rsidRDefault="00582143" w:rsidP="00582143">
            <w:pPr>
              <w:pStyle w:val="120"/>
            </w:pPr>
            <w:r w:rsidRPr="00A66D33">
              <w:t>本案係由監察委員函監察院</w:t>
            </w:r>
            <w:r w:rsidRPr="00A66D33">
              <w:rPr>
                <w:rFonts w:hint="eastAsia"/>
              </w:rPr>
              <w:t>，於42年6月6日</w:t>
            </w:r>
            <w:r w:rsidRPr="00A66D33">
              <w:t>轉函司法院解釋</w:t>
            </w:r>
            <w:r w:rsidRPr="00A66D33">
              <w:rPr>
                <w:rFonts w:hint="eastAsia"/>
              </w:rPr>
              <w:t>，</w:t>
            </w:r>
            <w:r w:rsidRPr="00A66D33">
              <w:t>未提監察院會議討論</w:t>
            </w:r>
            <w:r w:rsidRPr="00A66D33">
              <w:rPr>
                <w:rFonts w:hint="eastAsia"/>
              </w:rPr>
              <w:t>。</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09</w:t>
            </w:r>
          </w:p>
        </w:tc>
        <w:tc>
          <w:tcPr>
            <w:tcW w:w="674" w:type="pct"/>
          </w:tcPr>
          <w:p w:rsidR="00582143" w:rsidRPr="00A66D33" w:rsidRDefault="00582143" w:rsidP="00582143">
            <w:pPr>
              <w:pStyle w:val="120"/>
            </w:pPr>
            <w:r w:rsidRPr="00A66D33">
              <w:rPr>
                <w:rFonts w:hint="eastAsia"/>
              </w:rPr>
              <w:t>44年3月8日監察院第1屆第360次會議</w:t>
            </w:r>
          </w:p>
        </w:tc>
        <w:tc>
          <w:tcPr>
            <w:tcW w:w="1220" w:type="pct"/>
          </w:tcPr>
          <w:p w:rsidR="00582143" w:rsidRPr="00A66D33" w:rsidRDefault="00582143" w:rsidP="00582143">
            <w:pPr>
              <w:pStyle w:val="120"/>
            </w:pPr>
            <w:r w:rsidRPr="00A66D33">
              <w:rPr>
                <w:rFonts w:hint="eastAsia"/>
              </w:rPr>
              <w:t>公營事業機關所得額，應以審計機關最終審定之盈餘為依據，抑應以稅捐徵收機關核定之所得額為依據。</w:t>
            </w:r>
          </w:p>
        </w:tc>
        <w:tc>
          <w:tcPr>
            <w:tcW w:w="608" w:type="pct"/>
          </w:tcPr>
          <w:p w:rsidR="00582143" w:rsidRPr="00A66D33" w:rsidRDefault="00582143" w:rsidP="00582143">
            <w:pPr>
              <w:pStyle w:val="120"/>
            </w:pPr>
            <w:r w:rsidRPr="00A66D33">
              <w:rPr>
                <w:rFonts w:hint="eastAsia"/>
              </w:rPr>
              <w:t>審計部</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釋字第46號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44年5月9日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10</w:t>
            </w:r>
          </w:p>
        </w:tc>
        <w:tc>
          <w:tcPr>
            <w:tcW w:w="674" w:type="pct"/>
          </w:tcPr>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最高法院及臺灣高等法院推事與檢察官審理大信貿易公司經理符逸冰涉嫌偽造文書及詐欺一案，關於法律見解適用問題發生異議。</w:t>
            </w:r>
          </w:p>
        </w:tc>
        <w:tc>
          <w:tcPr>
            <w:tcW w:w="608" w:type="pct"/>
          </w:tcPr>
          <w:p w:rsidR="00582143" w:rsidRPr="00A66D33" w:rsidRDefault="00582143" w:rsidP="00582143">
            <w:pPr>
              <w:pStyle w:val="120"/>
            </w:pPr>
            <w:r w:rsidRPr="00A66D33">
              <w:rPr>
                <w:rFonts w:hint="eastAsia"/>
              </w:rPr>
              <w:t>趙委員季勳等3委員</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釋字第60號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45年4月2日</w:t>
            </w:r>
          </w:p>
        </w:tc>
        <w:tc>
          <w:tcPr>
            <w:tcW w:w="1219" w:type="pct"/>
          </w:tcPr>
          <w:p w:rsidR="00582143" w:rsidRPr="00A66D33" w:rsidRDefault="00582143" w:rsidP="00582143">
            <w:pPr>
              <w:pStyle w:val="120"/>
            </w:pPr>
            <w:r w:rsidRPr="00A66D33">
              <w:t>本案係由監察委員函監察院</w:t>
            </w:r>
            <w:r w:rsidRPr="00A66D33">
              <w:rPr>
                <w:rFonts w:hint="eastAsia"/>
              </w:rPr>
              <w:t>，於44年10月15日</w:t>
            </w:r>
            <w:r w:rsidRPr="00A66D33">
              <w:t>轉函司法院解釋</w:t>
            </w:r>
            <w:r w:rsidRPr="00A66D33">
              <w:rPr>
                <w:rFonts w:hint="eastAsia"/>
              </w:rPr>
              <w:t>，</w:t>
            </w:r>
            <w:r w:rsidRPr="00A66D33">
              <w:t>未提監察院會議討論</w:t>
            </w:r>
            <w:r w:rsidRPr="00A66D33">
              <w:rPr>
                <w:rFonts w:hint="eastAsia"/>
              </w:rPr>
              <w:t>。</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11</w:t>
            </w:r>
          </w:p>
        </w:tc>
        <w:tc>
          <w:tcPr>
            <w:tcW w:w="674" w:type="pct"/>
          </w:tcPr>
          <w:p w:rsidR="00582143" w:rsidRPr="00A66D33" w:rsidRDefault="00582143" w:rsidP="00582143">
            <w:pPr>
              <w:pStyle w:val="120"/>
            </w:pPr>
            <w:r w:rsidRPr="00A66D33">
              <w:rPr>
                <w:rFonts w:hint="eastAsia"/>
              </w:rPr>
              <w:t>45年9月11日監察院第1屆第449次會議</w:t>
            </w:r>
          </w:p>
        </w:tc>
        <w:tc>
          <w:tcPr>
            <w:tcW w:w="1220" w:type="pct"/>
          </w:tcPr>
          <w:p w:rsidR="00582143" w:rsidRPr="00A66D33" w:rsidRDefault="00582143" w:rsidP="00582143">
            <w:pPr>
              <w:pStyle w:val="120"/>
            </w:pPr>
            <w:r w:rsidRPr="00A66D33">
              <w:rPr>
                <w:rFonts w:hint="eastAsia"/>
              </w:rPr>
              <w:t>懲治叛亂條例第5條所謂參加叛亂之組織，是否可不問其加入行為係在若干年以前，及現在之有無聯絡及活動事實，均應認為其行為具有繼續性質，可適用同條例第5條論處，所有刑法第2條及罪犯赦免減刑令，均無適用餘地。</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釋字第68號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45年11月26日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12</w:t>
            </w:r>
          </w:p>
        </w:tc>
        <w:tc>
          <w:tcPr>
            <w:tcW w:w="674" w:type="pct"/>
          </w:tcPr>
          <w:p w:rsidR="00582143" w:rsidRPr="00A66D33" w:rsidRDefault="00582143" w:rsidP="00582143">
            <w:pPr>
              <w:pStyle w:val="120"/>
            </w:pPr>
            <w:r w:rsidRPr="00A66D33">
              <w:rPr>
                <w:rFonts w:hint="eastAsia"/>
              </w:rPr>
              <w:t>45年11月19日監察院第1屆第456次會議</w:t>
            </w:r>
          </w:p>
        </w:tc>
        <w:tc>
          <w:tcPr>
            <w:tcW w:w="1220" w:type="pct"/>
          </w:tcPr>
          <w:p w:rsidR="00582143" w:rsidRPr="00A66D33" w:rsidRDefault="00582143" w:rsidP="00582143">
            <w:pPr>
              <w:pStyle w:val="120"/>
            </w:pPr>
            <w:r w:rsidRPr="00A66D33">
              <w:rPr>
                <w:rFonts w:hint="eastAsia"/>
              </w:rPr>
              <w:t>關於憲法第33條、第74條、第102條規定關於現行犯適用問題。</w:t>
            </w:r>
          </w:p>
        </w:tc>
        <w:tc>
          <w:tcPr>
            <w:tcW w:w="608" w:type="pct"/>
          </w:tcPr>
          <w:p w:rsidR="00582143" w:rsidRPr="00A66D33" w:rsidRDefault="00582143" w:rsidP="00582143">
            <w:pPr>
              <w:pStyle w:val="120"/>
            </w:pPr>
            <w:r w:rsidRPr="00A66D33">
              <w:rPr>
                <w:rFonts w:hint="eastAsia"/>
              </w:rPr>
              <w:t>司法委員會（原案為王委員冠吾等3委員提）</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釋字第90號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50年4月26日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13</w:t>
            </w:r>
          </w:p>
        </w:tc>
        <w:tc>
          <w:tcPr>
            <w:tcW w:w="674" w:type="pct"/>
          </w:tcPr>
          <w:p w:rsidR="00582143" w:rsidRPr="00A66D33" w:rsidRDefault="00582143" w:rsidP="00582143">
            <w:pPr>
              <w:pStyle w:val="120"/>
            </w:pPr>
            <w:r w:rsidRPr="00A66D33">
              <w:rPr>
                <w:rFonts w:hint="eastAsia"/>
              </w:rPr>
              <w:t>46年5月27日監察院第1屆第491次會議</w:t>
            </w:r>
          </w:p>
        </w:tc>
        <w:tc>
          <w:tcPr>
            <w:tcW w:w="1220" w:type="pct"/>
          </w:tcPr>
          <w:p w:rsidR="00582143" w:rsidRPr="00A66D33" w:rsidRDefault="00582143" w:rsidP="00582143">
            <w:pPr>
              <w:pStyle w:val="120"/>
            </w:pPr>
            <w:r w:rsidRPr="00A66D33">
              <w:rPr>
                <w:rFonts w:hint="eastAsia"/>
              </w:rPr>
              <w:t>關於公務服務法第14條之「法令」二字適用上疑義。</w:t>
            </w:r>
          </w:p>
        </w:tc>
        <w:tc>
          <w:tcPr>
            <w:tcW w:w="608" w:type="pct"/>
          </w:tcPr>
          <w:p w:rsidR="00582143" w:rsidRPr="00A66D33" w:rsidRDefault="00582143" w:rsidP="00582143">
            <w:pPr>
              <w:pStyle w:val="120"/>
            </w:pPr>
            <w:r w:rsidRPr="00A66D33">
              <w:rPr>
                <w:rFonts w:hint="eastAsia"/>
              </w:rPr>
              <w:t>法令小組(原案為財政委員會提)</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48年3月9日司法院函復：以行政院對本問題之見解與監察院尚無歧異，依法未便解釋。</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lastRenderedPageBreak/>
              <w:t>14</w:t>
            </w:r>
          </w:p>
        </w:tc>
        <w:tc>
          <w:tcPr>
            <w:tcW w:w="674" w:type="pct"/>
            <w:vMerge w:val="restart"/>
          </w:tcPr>
          <w:p w:rsidR="00582143" w:rsidRPr="00A66D33" w:rsidRDefault="00582143" w:rsidP="00582143">
            <w:pPr>
              <w:pStyle w:val="120"/>
            </w:pPr>
            <w:r w:rsidRPr="00A66D33">
              <w:rPr>
                <w:rFonts w:hint="eastAsia"/>
              </w:rPr>
              <w:t>50年6月8日監察院第1屆第686次會議</w:t>
            </w:r>
          </w:p>
          <w:p w:rsidR="00582143" w:rsidRPr="00A66D33" w:rsidRDefault="00582143" w:rsidP="00582143">
            <w:pPr>
              <w:pStyle w:val="120"/>
            </w:pPr>
          </w:p>
        </w:tc>
        <w:tc>
          <w:tcPr>
            <w:tcW w:w="1220" w:type="pct"/>
            <w:vMerge w:val="restart"/>
          </w:tcPr>
          <w:p w:rsidR="00582143" w:rsidRPr="00A66D33" w:rsidRDefault="00582143" w:rsidP="00582143">
            <w:pPr>
              <w:pStyle w:val="120"/>
            </w:pPr>
            <w:r w:rsidRPr="00A66D33">
              <w:rPr>
                <w:rFonts w:hint="eastAsia"/>
              </w:rPr>
              <w:t>（一）違警罰法所規定主罰中之拘留、罰役是否違反憲法第8條之規定。</w:t>
            </w:r>
          </w:p>
          <w:p w:rsidR="00582143" w:rsidRPr="00A66D33" w:rsidRDefault="00582143" w:rsidP="00582143">
            <w:pPr>
              <w:pStyle w:val="120"/>
            </w:pPr>
            <w:r w:rsidRPr="00A66D33">
              <w:rPr>
                <w:rFonts w:hint="eastAsia"/>
              </w:rPr>
              <w:t>（二）現行出版法對於出版品定期停止其發行及撤銷其登記，是否應經司法機關決定方為適法</w:t>
            </w:r>
            <w:r w:rsidRPr="00A66D33">
              <w:t>。</w:t>
            </w:r>
          </w:p>
        </w:tc>
        <w:tc>
          <w:tcPr>
            <w:tcW w:w="608" w:type="pct"/>
            <w:vMerge w:val="restart"/>
          </w:tcPr>
          <w:p w:rsidR="00582143" w:rsidRPr="00A66D33" w:rsidRDefault="00582143" w:rsidP="00582143">
            <w:pPr>
              <w:pStyle w:val="120"/>
            </w:pPr>
            <w:r w:rsidRPr="00A66D33">
              <w:rPr>
                <w:rFonts w:hint="eastAsia"/>
              </w:rPr>
              <w:t>內政、司法委員會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釋字第105號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53年10月7日</w:t>
            </w:r>
          </w:p>
        </w:tc>
        <w:tc>
          <w:tcPr>
            <w:tcW w:w="1219" w:type="pct"/>
            <w:vMerge w:val="restart"/>
          </w:tcPr>
          <w:p w:rsidR="00582143" w:rsidRPr="00A66D33" w:rsidRDefault="00582143" w:rsidP="00582143">
            <w:pPr>
              <w:pStyle w:val="120"/>
            </w:pPr>
            <w:r w:rsidRPr="00A66D33">
              <w:rPr>
                <w:rFonts w:hint="eastAsia"/>
              </w:rPr>
              <w:t>內政、司法兩委員會前以違警罰法所規定主罰中之拘留罰役及出版法規定對出版品得定期停止其發行及撤銷登記是否違憲，不無疑義，提經院會決議函送司法院解釋。其有關出版法部分，經司法院先以釋字第105號解釋，違警罰法部分另以釋字第166號解釋。</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15</w:t>
            </w:r>
          </w:p>
        </w:tc>
        <w:tc>
          <w:tcPr>
            <w:tcW w:w="674" w:type="pct"/>
            <w:vMerge/>
          </w:tcPr>
          <w:p w:rsidR="00582143" w:rsidRPr="00A66D33" w:rsidRDefault="00582143" w:rsidP="00582143">
            <w:pPr>
              <w:pStyle w:val="120"/>
            </w:pPr>
          </w:p>
        </w:tc>
        <w:tc>
          <w:tcPr>
            <w:tcW w:w="1220" w:type="pct"/>
            <w:vMerge/>
          </w:tcPr>
          <w:p w:rsidR="00582143" w:rsidRPr="00A66D33" w:rsidRDefault="00582143" w:rsidP="00582143">
            <w:pPr>
              <w:pStyle w:val="120"/>
            </w:pPr>
          </w:p>
        </w:tc>
        <w:tc>
          <w:tcPr>
            <w:tcW w:w="608" w:type="pct"/>
            <w:vMerge/>
          </w:tcPr>
          <w:p w:rsidR="00582143" w:rsidRPr="00A66D33" w:rsidRDefault="00582143" w:rsidP="00582143">
            <w:pPr>
              <w:pStyle w:val="120"/>
            </w:pP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釋字第166號</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69年11月7日</w:t>
            </w:r>
          </w:p>
        </w:tc>
        <w:tc>
          <w:tcPr>
            <w:tcW w:w="1219" w:type="pct"/>
            <w:vMerge/>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16</w:t>
            </w:r>
          </w:p>
        </w:tc>
        <w:tc>
          <w:tcPr>
            <w:tcW w:w="674" w:type="pct"/>
          </w:tcPr>
          <w:p w:rsidR="00582143" w:rsidRPr="00A66D33" w:rsidRDefault="00582143" w:rsidP="00582143">
            <w:pPr>
              <w:pStyle w:val="120"/>
            </w:pPr>
            <w:r w:rsidRPr="00A66D33">
              <w:rPr>
                <w:rFonts w:hint="eastAsia"/>
              </w:rPr>
              <w:t>50年10月12日監察院第1屆第695次會議</w:t>
            </w:r>
          </w:p>
        </w:tc>
        <w:tc>
          <w:tcPr>
            <w:tcW w:w="1220" w:type="pct"/>
          </w:tcPr>
          <w:p w:rsidR="00582143" w:rsidRPr="00A66D33" w:rsidRDefault="00582143" w:rsidP="00582143">
            <w:pPr>
              <w:pStyle w:val="120"/>
            </w:pPr>
            <w:r w:rsidRPr="00A66D33">
              <w:rPr>
                <w:rFonts w:hint="eastAsia"/>
              </w:rPr>
              <w:t>「行賄」及「幫助或教唆行賄」是否視同刑法瀆職章之罪。</w:t>
            </w:r>
          </w:p>
        </w:tc>
        <w:tc>
          <w:tcPr>
            <w:tcW w:w="608" w:type="pct"/>
          </w:tcPr>
          <w:p w:rsidR="00582143" w:rsidRPr="00A66D33" w:rsidRDefault="00582143" w:rsidP="00582143">
            <w:pPr>
              <w:pStyle w:val="120"/>
            </w:pPr>
            <w:r w:rsidRPr="00A66D33">
              <w:rPr>
                <w:rFonts w:hint="eastAsia"/>
              </w:rPr>
              <w:t>內政、司法委員會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釋字第96號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51年6月27日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17</w:t>
            </w:r>
          </w:p>
        </w:tc>
        <w:tc>
          <w:tcPr>
            <w:tcW w:w="674" w:type="pct"/>
          </w:tcPr>
          <w:p w:rsidR="00582143" w:rsidRPr="00A66D33" w:rsidRDefault="00582143" w:rsidP="00582143">
            <w:pPr>
              <w:pStyle w:val="120"/>
            </w:pPr>
            <w:r w:rsidRPr="00A66D33">
              <w:rPr>
                <w:rFonts w:hint="eastAsia"/>
              </w:rPr>
              <w:t>51年2月21日監察院第1屆第733次會議</w:t>
            </w:r>
          </w:p>
        </w:tc>
        <w:tc>
          <w:tcPr>
            <w:tcW w:w="1220" w:type="pct"/>
          </w:tcPr>
          <w:p w:rsidR="00582143" w:rsidRPr="00A66D33" w:rsidRDefault="00582143" w:rsidP="00582143">
            <w:pPr>
              <w:pStyle w:val="120"/>
            </w:pPr>
            <w:r w:rsidRPr="00A66D33">
              <w:rPr>
                <w:rFonts w:hint="eastAsia"/>
              </w:rPr>
              <w:t>行政院依據國家總動員法第16條、第18條所頒布之救濟令，其救濟令及處理辦法與國家總動員法是否適合。</w:t>
            </w:r>
          </w:p>
        </w:tc>
        <w:tc>
          <w:tcPr>
            <w:tcW w:w="608" w:type="pct"/>
          </w:tcPr>
          <w:p w:rsidR="00582143" w:rsidRPr="00A66D33" w:rsidRDefault="00582143" w:rsidP="00582143">
            <w:pPr>
              <w:pStyle w:val="120"/>
            </w:pPr>
            <w:r w:rsidRPr="00A66D33">
              <w:rPr>
                <w:rFonts w:hint="eastAsia"/>
              </w:rPr>
              <w:t>經濟委員會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釋字第106號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54年2月12日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18</w:t>
            </w:r>
          </w:p>
        </w:tc>
        <w:tc>
          <w:tcPr>
            <w:tcW w:w="674" w:type="pct"/>
          </w:tcPr>
          <w:p w:rsidR="00582143" w:rsidRPr="00A66D33" w:rsidRDefault="00582143" w:rsidP="00582143">
            <w:pPr>
              <w:pStyle w:val="120"/>
            </w:pPr>
            <w:r w:rsidRPr="00A66D33">
              <w:rPr>
                <w:rFonts w:hint="eastAsia"/>
              </w:rPr>
              <w:t>51年3月14日監察院第1屆第734次會議</w:t>
            </w:r>
          </w:p>
        </w:tc>
        <w:tc>
          <w:tcPr>
            <w:tcW w:w="1220" w:type="pct"/>
          </w:tcPr>
          <w:p w:rsidR="00582143" w:rsidRPr="00A66D33" w:rsidRDefault="00582143" w:rsidP="00582143">
            <w:pPr>
              <w:pStyle w:val="120"/>
            </w:pPr>
            <w:r w:rsidRPr="00A66D33">
              <w:rPr>
                <w:rFonts w:hint="eastAsia"/>
              </w:rPr>
              <w:t>（一）官署之處分書應否具備公文程式條例所規定之程式。</w:t>
            </w:r>
          </w:p>
          <w:p w:rsidR="00582143" w:rsidRPr="00A66D33" w:rsidRDefault="00582143" w:rsidP="00582143">
            <w:pPr>
              <w:pStyle w:val="120"/>
            </w:pPr>
            <w:r w:rsidRPr="00A66D33">
              <w:rPr>
                <w:rFonts w:hint="eastAsia"/>
              </w:rPr>
              <w:t>（二）公文程式條例之規定，是否僅指機關內部文稿，而不及於正式對外發出之文件。</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釋字第97號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51年9月7日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19</w:t>
            </w:r>
          </w:p>
        </w:tc>
        <w:tc>
          <w:tcPr>
            <w:tcW w:w="674" w:type="pct"/>
          </w:tcPr>
          <w:p w:rsidR="00582143" w:rsidRPr="00A66D33" w:rsidRDefault="00582143" w:rsidP="00582143">
            <w:pPr>
              <w:pStyle w:val="120"/>
            </w:pPr>
            <w:r w:rsidRPr="00A66D33">
              <w:rPr>
                <w:rFonts w:hint="eastAsia"/>
              </w:rPr>
              <w:t>54年7月13日監察院第1屆第909次會議</w:t>
            </w:r>
          </w:p>
        </w:tc>
        <w:tc>
          <w:tcPr>
            <w:tcW w:w="1220" w:type="pct"/>
          </w:tcPr>
          <w:p w:rsidR="00582143" w:rsidRPr="00A66D33" w:rsidRDefault="00582143" w:rsidP="00582143">
            <w:pPr>
              <w:pStyle w:val="120"/>
            </w:pPr>
            <w:r w:rsidRPr="00A66D33">
              <w:rPr>
                <w:rFonts w:hint="eastAsia"/>
              </w:rPr>
              <w:t>臺東縣議會陳培昌於該會第6屆第3次大會時，發言質詢引起訴訟涉及縣市議員在大會所為言論及表決對外責任疑問。</w:t>
            </w:r>
          </w:p>
          <w:p w:rsidR="00582143" w:rsidRPr="00A66D33" w:rsidRDefault="00582143" w:rsidP="00582143">
            <w:pPr>
              <w:pStyle w:val="120"/>
            </w:pPr>
          </w:p>
        </w:tc>
        <w:tc>
          <w:tcPr>
            <w:tcW w:w="608" w:type="pct"/>
          </w:tcPr>
          <w:p w:rsidR="00582143" w:rsidRPr="00A66D33" w:rsidRDefault="00582143" w:rsidP="00582143">
            <w:pPr>
              <w:pStyle w:val="120"/>
            </w:pPr>
            <w:r w:rsidRPr="00A66D33">
              <w:rPr>
                <w:rFonts w:hint="eastAsia"/>
              </w:rPr>
              <w:t>內政委員會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釋字第122號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56年7月5日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20</w:t>
            </w:r>
          </w:p>
        </w:tc>
        <w:tc>
          <w:tcPr>
            <w:tcW w:w="674" w:type="pct"/>
          </w:tcPr>
          <w:p w:rsidR="00582143" w:rsidRPr="00A66D33" w:rsidRDefault="00582143" w:rsidP="00582143">
            <w:pPr>
              <w:pStyle w:val="120"/>
            </w:pPr>
            <w:r w:rsidRPr="00A66D33">
              <w:rPr>
                <w:rFonts w:hint="eastAsia"/>
              </w:rPr>
              <w:t>54年8月10日監察院第1屆第912次會議</w:t>
            </w:r>
          </w:p>
        </w:tc>
        <w:tc>
          <w:tcPr>
            <w:tcW w:w="1220" w:type="pct"/>
          </w:tcPr>
          <w:p w:rsidR="00582143" w:rsidRPr="00A66D33" w:rsidRDefault="00582143" w:rsidP="00582143">
            <w:pPr>
              <w:pStyle w:val="120"/>
            </w:pPr>
            <w:r w:rsidRPr="00A66D33">
              <w:rPr>
                <w:rFonts w:hint="eastAsia"/>
              </w:rPr>
              <w:t>為調查劉０潭呈訴新竹縣政府及臺灣省政府非法徵收民地，內政部及行政法院枉法裁判一案時，發覺由於土地法及土地法施行法有關條文涵義欠明，互</w:t>
            </w:r>
            <w:r w:rsidRPr="00A66D33">
              <w:rPr>
                <w:rFonts w:hint="eastAsia"/>
              </w:rPr>
              <w:lastRenderedPageBreak/>
              <w:t>有不同之解釋，乃造成適用上之困難。</w:t>
            </w:r>
          </w:p>
        </w:tc>
        <w:tc>
          <w:tcPr>
            <w:tcW w:w="608" w:type="pct"/>
          </w:tcPr>
          <w:p w:rsidR="00582143" w:rsidRPr="00A66D33" w:rsidRDefault="00582143" w:rsidP="00582143">
            <w:pPr>
              <w:pStyle w:val="120"/>
            </w:pPr>
            <w:r w:rsidRPr="00A66D33">
              <w:rPr>
                <w:rFonts w:hint="eastAsia"/>
              </w:rPr>
              <w:lastRenderedPageBreak/>
              <w:t>張委員秉智</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釋字第110號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54年12月29日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21</w:t>
            </w:r>
          </w:p>
        </w:tc>
        <w:tc>
          <w:tcPr>
            <w:tcW w:w="674" w:type="pct"/>
          </w:tcPr>
          <w:p w:rsidR="00582143" w:rsidRPr="00A66D33" w:rsidRDefault="00582143" w:rsidP="00582143">
            <w:pPr>
              <w:pStyle w:val="120"/>
            </w:pPr>
            <w:r w:rsidRPr="00A66D33">
              <w:rPr>
                <w:rFonts w:hint="eastAsia"/>
              </w:rPr>
              <w:t>56年3月16日監察院第1屆第1002次會議</w:t>
            </w:r>
          </w:p>
        </w:tc>
        <w:tc>
          <w:tcPr>
            <w:tcW w:w="1220" w:type="pct"/>
          </w:tcPr>
          <w:p w:rsidR="00582143" w:rsidRPr="00A66D33" w:rsidRDefault="00582143" w:rsidP="00582143">
            <w:pPr>
              <w:pStyle w:val="120"/>
            </w:pPr>
            <w:r w:rsidRPr="00A66D33">
              <w:rPr>
                <w:rFonts w:hint="eastAsia"/>
              </w:rPr>
              <w:t>司法院所屬之行政法院院長等是否得認為憲法第81條規定之法官，擬聲請解釋案。</w:t>
            </w:r>
          </w:p>
        </w:tc>
        <w:tc>
          <w:tcPr>
            <w:tcW w:w="608" w:type="pct"/>
          </w:tcPr>
          <w:p w:rsidR="00582143" w:rsidRPr="00A66D33" w:rsidRDefault="00582143" w:rsidP="00582143">
            <w:pPr>
              <w:pStyle w:val="120"/>
            </w:pPr>
            <w:r w:rsidRPr="00A66D33">
              <w:rPr>
                <w:rFonts w:hint="eastAsia"/>
              </w:rPr>
              <w:t>段委員克昌等5委員</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釋字第162號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69年4月25日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22</w:t>
            </w:r>
          </w:p>
        </w:tc>
        <w:tc>
          <w:tcPr>
            <w:tcW w:w="674" w:type="pct"/>
          </w:tcPr>
          <w:p w:rsidR="00582143" w:rsidRPr="00A66D33" w:rsidRDefault="00582143" w:rsidP="00582143">
            <w:pPr>
              <w:pStyle w:val="120"/>
            </w:pPr>
            <w:r w:rsidRPr="00A66D33">
              <w:rPr>
                <w:rFonts w:hint="eastAsia"/>
              </w:rPr>
              <w:t>56年9月12日監察院第1屆第1021次會議</w:t>
            </w:r>
          </w:p>
        </w:tc>
        <w:tc>
          <w:tcPr>
            <w:tcW w:w="1220" w:type="pct"/>
          </w:tcPr>
          <w:p w:rsidR="00582143" w:rsidRPr="00A66D33" w:rsidRDefault="00582143" w:rsidP="00582143">
            <w:pPr>
              <w:pStyle w:val="120"/>
            </w:pPr>
            <w:r w:rsidRPr="00A66D33">
              <w:rPr>
                <w:rFonts w:hint="eastAsia"/>
              </w:rPr>
              <w:t>請再解釋司法院釋字第122號解釋關於縣議員在會議時發言責任案。</w:t>
            </w:r>
          </w:p>
        </w:tc>
        <w:tc>
          <w:tcPr>
            <w:tcW w:w="608" w:type="pct"/>
          </w:tcPr>
          <w:p w:rsidR="00582143" w:rsidRPr="00A66D33" w:rsidRDefault="00582143" w:rsidP="00582143">
            <w:pPr>
              <w:pStyle w:val="120"/>
            </w:pPr>
            <w:r w:rsidRPr="00A66D33">
              <w:rPr>
                <w:rFonts w:hint="eastAsia"/>
              </w:rPr>
              <w:t>內政、司法委員會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釋字第165號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69年9月12日</w:t>
            </w:r>
          </w:p>
        </w:tc>
        <w:tc>
          <w:tcPr>
            <w:tcW w:w="1219" w:type="pct"/>
          </w:tcPr>
          <w:p w:rsidR="00582143" w:rsidRPr="00A66D33" w:rsidRDefault="00582143" w:rsidP="00582143">
            <w:pPr>
              <w:pStyle w:val="120"/>
            </w:pPr>
            <w:r w:rsidRPr="00A66D33">
              <w:rPr>
                <w:rFonts w:hint="eastAsia"/>
              </w:rPr>
              <w:t>釋字第122號解釋，係經54年7月13日監察院第1屆第909次會議決議聲請解釋。</w:t>
            </w:r>
          </w:p>
        </w:tc>
      </w:tr>
      <w:tr w:rsidR="00A66D33" w:rsidRPr="00A66D33" w:rsidTr="00582143">
        <w:trPr>
          <w:jc w:val="center"/>
        </w:trPr>
        <w:tc>
          <w:tcPr>
            <w:tcW w:w="274" w:type="pct"/>
          </w:tcPr>
          <w:p w:rsidR="00582143" w:rsidRPr="00A66D33" w:rsidRDefault="00582143" w:rsidP="00582143">
            <w:pPr>
              <w:pStyle w:val="120"/>
              <w:rPr>
                <w:highlight w:val="yellow"/>
              </w:rPr>
            </w:pPr>
            <w:r w:rsidRPr="00A66D33">
              <w:rPr>
                <w:rFonts w:hint="eastAsia"/>
              </w:rPr>
              <w:t>23</w:t>
            </w:r>
          </w:p>
        </w:tc>
        <w:tc>
          <w:tcPr>
            <w:tcW w:w="674" w:type="pct"/>
          </w:tcPr>
          <w:p w:rsidR="00582143" w:rsidRPr="00A66D33" w:rsidRDefault="00582143" w:rsidP="00582143">
            <w:pPr>
              <w:pStyle w:val="120"/>
            </w:pPr>
            <w:r w:rsidRPr="00A66D33">
              <w:rPr>
                <w:rFonts w:hint="eastAsia"/>
              </w:rPr>
              <w:t>57年1月11日監察院第1屆第1051次會議</w:t>
            </w:r>
          </w:p>
        </w:tc>
        <w:tc>
          <w:tcPr>
            <w:tcW w:w="1220" w:type="pct"/>
          </w:tcPr>
          <w:p w:rsidR="00582143" w:rsidRPr="00A66D33" w:rsidRDefault="00582143" w:rsidP="00582143">
            <w:pPr>
              <w:pStyle w:val="120"/>
            </w:pPr>
            <w:r w:rsidRPr="00A66D33">
              <w:rPr>
                <w:rFonts w:hint="eastAsia"/>
              </w:rPr>
              <w:t>關於耕地375減租條例第15條規定之土地優先承買權之行使問題，本院所持見解與最高法院所已表示之見解有異，擬請依照司法院大法官會議法第7條規定，聲請統一解釋案。</w:t>
            </w:r>
          </w:p>
        </w:tc>
        <w:tc>
          <w:tcPr>
            <w:tcW w:w="608" w:type="pct"/>
          </w:tcPr>
          <w:p w:rsidR="00582143" w:rsidRPr="00A66D33" w:rsidRDefault="00582143" w:rsidP="00582143">
            <w:pPr>
              <w:pStyle w:val="120"/>
            </w:pPr>
            <w:r w:rsidRPr="00A66D33">
              <w:rPr>
                <w:rFonts w:hint="eastAsia"/>
              </w:rPr>
              <w:t>田委員欲樸、王委員冠吾</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釋字第124號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57年8月23日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24</w:t>
            </w:r>
          </w:p>
        </w:tc>
        <w:tc>
          <w:tcPr>
            <w:tcW w:w="674" w:type="pct"/>
          </w:tcPr>
          <w:p w:rsidR="00582143" w:rsidRPr="00A66D33" w:rsidRDefault="00582143" w:rsidP="00582143">
            <w:pPr>
              <w:pStyle w:val="120"/>
            </w:pPr>
            <w:r w:rsidRPr="00A66D33">
              <w:rPr>
                <w:rFonts w:hint="eastAsia"/>
              </w:rPr>
              <w:t>57年4月9日監察院第1屆第1057次會議</w:t>
            </w:r>
          </w:p>
        </w:tc>
        <w:tc>
          <w:tcPr>
            <w:tcW w:w="1220" w:type="pct"/>
          </w:tcPr>
          <w:p w:rsidR="00582143" w:rsidRPr="00A66D33" w:rsidRDefault="00582143" w:rsidP="00582143">
            <w:pPr>
              <w:pStyle w:val="120"/>
            </w:pPr>
            <w:r w:rsidRPr="00A66D33">
              <w:rPr>
                <w:rFonts w:hint="eastAsia"/>
              </w:rPr>
              <w:t>為最高法院近年判決，對依照耕地375減租條例訂立租約之佃農，在租佃期限未屆滿前，如有該條例第17條規定以外之情形時，地主仍得終止租約。此項見解當與該條硬性限制之原意不符，惟事關法律見解，擬移送大法官會議解釋，以確保耕地承租人權益案。</w:t>
            </w:r>
          </w:p>
          <w:p w:rsidR="00582143" w:rsidRPr="00A66D33" w:rsidRDefault="00582143" w:rsidP="00582143">
            <w:pPr>
              <w:pStyle w:val="120"/>
            </w:pPr>
          </w:p>
        </w:tc>
        <w:tc>
          <w:tcPr>
            <w:tcW w:w="608" w:type="pct"/>
          </w:tcPr>
          <w:p w:rsidR="00582143" w:rsidRPr="00A66D33" w:rsidRDefault="00582143" w:rsidP="00582143">
            <w:pPr>
              <w:pStyle w:val="120"/>
            </w:pPr>
            <w:r w:rsidRPr="00A66D33">
              <w:rPr>
                <w:rFonts w:hint="eastAsia"/>
              </w:rPr>
              <w:t>陳委員大榕、李委員正樂</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釋字第125號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57年10月30日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25</w:t>
            </w:r>
          </w:p>
        </w:tc>
        <w:tc>
          <w:tcPr>
            <w:tcW w:w="674" w:type="pct"/>
          </w:tcPr>
          <w:p w:rsidR="00582143" w:rsidRPr="00A66D33" w:rsidRDefault="00582143" w:rsidP="00582143">
            <w:pPr>
              <w:pStyle w:val="120"/>
            </w:pPr>
            <w:r w:rsidRPr="00A66D33">
              <w:rPr>
                <w:rFonts w:hint="eastAsia"/>
              </w:rPr>
              <w:t>57年11月26日監察院第1屆第1087次會議</w:t>
            </w:r>
          </w:p>
        </w:tc>
        <w:tc>
          <w:tcPr>
            <w:tcW w:w="1220" w:type="pct"/>
          </w:tcPr>
          <w:p w:rsidR="00582143" w:rsidRPr="00A66D33" w:rsidRDefault="00582143" w:rsidP="00582143">
            <w:pPr>
              <w:pStyle w:val="120"/>
            </w:pPr>
            <w:r w:rsidRPr="00A66D33">
              <w:rPr>
                <w:rFonts w:hint="eastAsia"/>
              </w:rPr>
              <w:t>為糾正牟紹恆等參加匪偽兒童團組織被判刑一案，本院與行政院之法律見解有異，擬送請司法院大法官會議解釋案。</w:t>
            </w:r>
          </w:p>
          <w:p w:rsidR="00582143" w:rsidRPr="00A66D33" w:rsidRDefault="00582143" w:rsidP="00582143">
            <w:pPr>
              <w:pStyle w:val="120"/>
            </w:pP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釋字第129號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59年10月30日</w:t>
            </w:r>
          </w:p>
        </w:tc>
        <w:tc>
          <w:tcPr>
            <w:tcW w:w="1219" w:type="pct"/>
          </w:tcPr>
          <w:p w:rsidR="00582143" w:rsidRPr="00A66D33" w:rsidRDefault="00582143" w:rsidP="00582143">
            <w:pPr>
              <w:pStyle w:val="120"/>
            </w:pPr>
          </w:p>
        </w:tc>
      </w:tr>
      <w:tr w:rsidR="00A66D33" w:rsidRPr="00A66D33" w:rsidTr="00582143">
        <w:trPr>
          <w:jc w:val="center"/>
        </w:trPr>
        <w:tc>
          <w:tcPr>
            <w:tcW w:w="274" w:type="pct"/>
            <w:vMerge w:val="restart"/>
          </w:tcPr>
          <w:p w:rsidR="00582143" w:rsidRPr="00A66D33" w:rsidRDefault="00582143" w:rsidP="00582143">
            <w:pPr>
              <w:pStyle w:val="120"/>
            </w:pPr>
            <w:r w:rsidRPr="00A66D33">
              <w:rPr>
                <w:rFonts w:hint="eastAsia"/>
              </w:rPr>
              <w:lastRenderedPageBreak/>
              <w:t>26</w:t>
            </w:r>
          </w:p>
        </w:tc>
        <w:tc>
          <w:tcPr>
            <w:tcW w:w="674" w:type="pct"/>
          </w:tcPr>
          <w:p w:rsidR="00582143" w:rsidRPr="00A66D33" w:rsidRDefault="00582143" w:rsidP="00582143">
            <w:pPr>
              <w:pStyle w:val="120"/>
            </w:pPr>
            <w:r w:rsidRPr="00A66D33">
              <w:rPr>
                <w:rFonts w:hint="eastAsia"/>
              </w:rPr>
              <w:t>58年1月18日監察院第1屆第1099次會議</w:t>
            </w:r>
          </w:p>
        </w:tc>
        <w:tc>
          <w:tcPr>
            <w:tcW w:w="1220" w:type="pct"/>
          </w:tcPr>
          <w:p w:rsidR="00582143" w:rsidRPr="00A66D33" w:rsidRDefault="00582143" w:rsidP="00582143">
            <w:pPr>
              <w:pStyle w:val="120"/>
            </w:pPr>
            <w:r w:rsidRPr="00A66D33">
              <w:rPr>
                <w:rFonts w:hint="eastAsia"/>
              </w:rPr>
              <w:t>為縣市政府依耕地375減租條例第19條第1項所為之通知，係執行行政法令之處分，對於承租人應有拘束力，最高法院之判例見解與行政院及本院均有歧異，擬請大法官解釋案。</w:t>
            </w:r>
          </w:p>
        </w:tc>
        <w:tc>
          <w:tcPr>
            <w:tcW w:w="608" w:type="pct"/>
          </w:tcPr>
          <w:p w:rsidR="00582143" w:rsidRPr="00A66D33" w:rsidRDefault="00582143" w:rsidP="00582143">
            <w:pPr>
              <w:pStyle w:val="120"/>
            </w:pPr>
            <w:r w:rsidRPr="00A66D33">
              <w:rPr>
                <w:rFonts w:hint="eastAsia"/>
              </w:rPr>
              <w:t>康委員玉書等6委員</w:t>
            </w:r>
          </w:p>
        </w:tc>
        <w:tc>
          <w:tcPr>
            <w:tcW w:w="1005" w:type="pct"/>
            <w:vMerge w:val="restar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釋字第128號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59年4月17日</w:t>
            </w:r>
          </w:p>
        </w:tc>
        <w:tc>
          <w:tcPr>
            <w:tcW w:w="1219" w:type="pct"/>
          </w:tcPr>
          <w:p w:rsidR="00582143" w:rsidRPr="00A66D33" w:rsidRDefault="00582143" w:rsidP="00582143">
            <w:pPr>
              <w:pStyle w:val="120"/>
            </w:pPr>
          </w:p>
        </w:tc>
      </w:tr>
      <w:tr w:rsidR="00A66D33" w:rsidRPr="00A66D33" w:rsidTr="00582143">
        <w:trPr>
          <w:jc w:val="center"/>
        </w:trPr>
        <w:tc>
          <w:tcPr>
            <w:tcW w:w="274" w:type="pct"/>
            <w:vMerge/>
          </w:tcPr>
          <w:p w:rsidR="00582143" w:rsidRPr="00A66D33" w:rsidRDefault="00582143" w:rsidP="00582143">
            <w:pPr>
              <w:pStyle w:val="120"/>
            </w:pPr>
          </w:p>
        </w:tc>
        <w:tc>
          <w:tcPr>
            <w:tcW w:w="674" w:type="pct"/>
          </w:tcPr>
          <w:p w:rsidR="00582143" w:rsidRPr="00A66D33" w:rsidRDefault="00582143" w:rsidP="00582143">
            <w:pPr>
              <w:pStyle w:val="120"/>
            </w:pPr>
            <w:r w:rsidRPr="00A66D33">
              <w:rPr>
                <w:rFonts w:hint="eastAsia"/>
              </w:rPr>
              <w:t>58年12月16日監察院第1屆第1136次會議</w:t>
            </w:r>
          </w:p>
        </w:tc>
        <w:tc>
          <w:tcPr>
            <w:tcW w:w="1220" w:type="pct"/>
          </w:tcPr>
          <w:p w:rsidR="00582143" w:rsidRPr="00A66D33" w:rsidRDefault="00582143" w:rsidP="00582143">
            <w:pPr>
              <w:pStyle w:val="120"/>
            </w:pPr>
            <w:r w:rsidRPr="00A66D33">
              <w:rPr>
                <w:rFonts w:hint="eastAsia"/>
              </w:rPr>
              <w:t>為耕地375減租條例第19條第2項所為之調處，對於當事人間亦有拘束力，應依行政救濟程序辦理，擬送請大法官會議併案解釋案。</w:t>
            </w:r>
          </w:p>
        </w:tc>
        <w:tc>
          <w:tcPr>
            <w:tcW w:w="608" w:type="pct"/>
          </w:tcPr>
          <w:p w:rsidR="00582143" w:rsidRPr="00A66D33" w:rsidRDefault="00582143" w:rsidP="00582143">
            <w:pPr>
              <w:pStyle w:val="120"/>
            </w:pPr>
            <w:r w:rsidRPr="00A66D33">
              <w:rPr>
                <w:rFonts w:hint="eastAsia"/>
              </w:rPr>
              <w:t>酆委員景福、張委員國柱、黃委員寶實等3委員</w:t>
            </w:r>
          </w:p>
        </w:tc>
        <w:tc>
          <w:tcPr>
            <w:tcW w:w="1005" w:type="pct"/>
            <w:vMerge/>
          </w:tcPr>
          <w:p w:rsidR="00582143" w:rsidRPr="00A66D33" w:rsidRDefault="00582143" w:rsidP="00582143">
            <w:pPr>
              <w:pStyle w:val="120"/>
            </w:pP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27</w:t>
            </w:r>
          </w:p>
        </w:tc>
        <w:tc>
          <w:tcPr>
            <w:tcW w:w="674" w:type="pct"/>
          </w:tcPr>
          <w:p w:rsidR="00582143" w:rsidRPr="00A66D33" w:rsidRDefault="00582143" w:rsidP="00582143">
            <w:pPr>
              <w:pStyle w:val="120"/>
            </w:pPr>
            <w:r w:rsidRPr="00A66D33">
              <w:rPr>
                <w:rFonts w:hint="eastAsia"/>
              </w:rPr>
              <w:t>61年6月17日監察院第1屆第1262次會議</w:t>
            </w:r>
          </w:p>
        </w:tc>
        <w:tc>
          <w:tcPr>
            <w:tcW w:w="1220" w:type="pct"/>
          </w:tcPr>
          <w:p w:rsidR="00582143" w:rsidRPr="00A66D33" w:rsidRDefault="00582143" w:rsidP="00582143">
            <w:pPr>
              <w:pStyle w:val="120"/>
            </w:pPr>
            <w:r w:rsidRPr="00A66D33">
              <w:rPr>
                <w:rFonts w:hint="eastAsia"/>
              </w:rPr>
              <w:t>查各機關就其職掌所作有關法規之釋示或行政命令，法官是否得逕予排斥不用？此一問題，不但涉及人民之權利義務，法官之審判職權以及行政命令之效力，亦與本院職權之行使有密切關係。</w:t>
            </w:r>
          </w:p>
        </w:tc>
        <w:tc>
          <w:tcPr>
            <w:tcW w:w="608" w:type="pct"/>
          </w:tcPr>
          <w:p w:rsidR="00582143" w:rsidRPr="00A66D33" w:rsidRDefault="00582143" w:rsidP="00582143">
            <w:pPr>
              <w:pStyle w:val="120"/>
            </w:pPr>
            <w:r w:rsidRPr="00A66D33">
              <w:rPr>
                <w:rFonts w:hint="eastAsia"/>
              </w:rPr>
              <w:t>陶委員百川、張委員一中、金委員越光、吳委員大宇、王委員文光、王委員澍霖、丁委員俊生等7委員</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釋字第137號 </w:t>
            </w:r>
          </w:p>
          <w:p w:rsidR="00582143" w:rsidRPr="00A66D33" w:rsidRDefault="00582143" w:rsidP="00582143">
            <w:pPr>
              <w:pStyle w:val="120"/>
            </w:pPr>
            <w:r w:rsidRPr="00A66D33">
              <w:rPr>
                <w:rFonts w:hint="eastAsia"/>
              </w:rPr>
              <w:t>◎解釋公布日期：62年12月14日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28</w:t>
            </w:r>
          </w:p>
        </w:tc>
        <w:tc>
          <w:tcPr>
            <w:tcW w:w="674" w:type="pct"/>
          </w:tcPr>
          <w:p w:rsidR="00582143" w:rsidRPr="00A66D33" w:rsidRDefault="00582143" w:rsidP="00582143">
            <w:pPr>
              <w:pStyle w:val="120"/>
            </w:pPr>
            <w:r w:rsidRPr="00A66D33">
              <w:rPr>
                <w:rFonts w:hint="eastAsia"/>
              </w:rPr>
              <w:t>63年3月12日監察院第1屆第1350次會議</w:t>
            </w:r>
          </w:p>
        </w:tc>
        <w:tc>
          <w:tcPr>
            <w:tcW w:w="1220" w:type="pct"/>
          </w:tcPr>
          <w:p w:rsidR="00582143" w:rsidRPr="00A66D33" w:rsidRDefault="00582143" w:rsidP="00582143">
            <w:pPr>
              <w:pStyle w:val="120"/>
            </w:pPr>
            <w:r w:rsidRPr="00A66D33">
              <w:rPr>
                <w:rFonts w:hint="eastAsia"/>
              </w:rPr>
              <w:t>關於財政部對「營業稅法第41條5年期間之解釋」，認應自該法公布生效之日起算。本院所持之見解與行政院所已表示之見解，既有不同，擬函請司法院大法官會議統一解釋，可否，請討論案。</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釋字第142號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64年2月7日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29</w:t>
            </w:r>
          </w:p>
        </w:tc>
        <w:tc>
          <w:tcPr>
            <w:tcW w:w="674" w:type="pct"/>
          </w:tcPr>
          <w:p w:rsidR="00582143" w:rsidRPr="00A66D33" w:rsidRDefault="00582143" w:rsidP="00582143">
            <w:pPr>
              <w:pStyle w:val="120"/>
            </w:pPr>
            <w:r w:rsidRPr="00A66D33">
              <w:rPr>
                <w:rFonts w:hint="eastAsia"/>
              </w:rPr>
              <w:t>66年3月10日監察院第1屆第1487次會議</w:t>
            </w:r>
          </w:p>
        </w:tc>
        <w:tc>
          <w:tcPr>
            <w:tcW w:w="1220" w:type="pct"/>
          </w:tcPr>
          <w:p w:rsidR="00582143" w:rsidRPr="00A66D33" w:rsidRDefault="00582143" w:rsidP="00582143">
            <w:pPr>
              <w:pStyle w:val="120"/>
            </w:pPr>
            <w:r w:rsidRPr="00A66D33">
              <w:rPr>
                <w:rFonts w:hint="eastAsia"/>
              </w:rPr>
              <w:t>政府機關對稅法未規定應繳付稅款之事項，是否得以比照類推方法，著使人民（包括法人）繳稅。</w:t>
            </w:r>
          </w:p>
        </w:tc>
        <w:tc>
          <w:tcPr>
            <w:tcW w:w="608" w:type="pct"/>
          </w:tcPr>
          <w:p w:rsidR="00582143" w:rsidRPr="00A66D33" w:rsidRDefault="00582143" w:rsidP="00582143">
            <w:pPr>
              <w:pStyle w:val="120"/>
            </w:pPr>
            <w:r w:rsidRPr="00A66D33">
              <w:rPr>
                <w:rFonts w:hint="eastAsia"/>
              </w:rPr>
              <w:t>司法委員會(由財政委員會函送院會，經決議交司法</w:t>
            </w:r>
            <w:r w:rsidRPr="00A66D33">
              <w:rPr>
                <w:rFonts w:hint="eastAsia"/>
              </w:rPr>
              <w:lastRenderedPageBreak/>
              <w:t>委員會)</w:t>
            </w:r>
          </w:p>
        </w:tc>
        <w:tc>
          <w:tcPr>
            <w:tcW w:w="1005" w:type="pct"/>
          </w:tcPr>
          <w:p w:rsidR="00582143" w:rsidRPr="00A66D33" w:rsidRDefault="00582143" w:rsidP="00582143">
            <w:pPr>
              <w:pStyle w:val="120"/>
            </w:pPr>
            <w:r w:rsidRPr="00A66D33">
              <w:rPr>
                <w:rFonts w:hint="eastAsia"/>
              </w:rPr>
              <w:lastRenderedPageBreak/>
              <w:t>◎解釋字號：</w:t>
            </w:r>
          </w:p>
          <w:p w:rsidR="00582143" w:rsidRPr="00A66D33" w:rsidRDefault="00582143" w:rsidP="00582143">
            <w:pPr>
              <w:pStyle w:val="120"/>
            </w:pPr>
            <w:r w:rsidRPr="00A66D33">
              <w:rPr>
                <w:rFonts w:hint="eastAsia"/>
              </w:rPr>
              <w:t xml:space="preserve">釋字第151號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66年12月23日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30</w:t>
            </w:r>
          </w:p>
        </w:tc>
        <w:tc>
          <w:tcPr>
            <w:tcW w:w="674" w:type="pct"/>
          </w:tcPr>
          <w:p w:rsidR="00582143" w:rsidRPr="00A66D33" w:rsidRDefault="00582143" w:rsidP="00582143">
            <w:pPr>
              <w:pStyle w:val="120"/>
            </w:pPr>
            <w:r w:rsidRPr="00A66D33">
              <w:rPr>
                <w:rFonts w:hint="eastAsia"/>
              </w:rPr>
              <w:t>68年10月9日監察院第1屆第1589次會議</w:t>
            </w:r>
          </w:p>
        </w:tc>
        <w:tc>
          <w:tcPr>
            <w:tcW w:w="1220" w:type="pct"/>
          </w:tcPr>
          <w:p w:rsidR="00582143" w:rsidRPr="00A66D33" w:rsidRDefault="00582143" w:rsidP="00582143">
            <w:pPr>
              <w:pStyle w:val="120"/>
            </w:pPr>
            <w:r w:rsidRPr="00A66D33">
              <w:rPr>
                <w:rFonts w:hint="eastAsia"/>
              </w:rPr>
              <w:t>請解釋實施都市計畫原出租農地由地主收回，依規定給與佃農申報地價三分之一之補償金應否課徵所得稅案。</w:t>
            </w:r>
          </w:p>
        </w:tc>
        <w:tc>
          <w:tcPr>
            <w:tcW w:w="608" w:type="pct"/>
          </w:tcPr>
          <w:p w:rsidR="00582143" w:rsidRPr="00A66D33" w:rsidRDefault="00582143" w:rsidP="00582143">
            <w:pPr>
              <w:pStyle w:val="120"/>
            </w:pPr>
            <w:r w:rsidRPr="00A66D33">
              <w:rPr>
                <w:rFonts w:hint="eastAsia"/>
              </w:rPr>
              <w:t>財政委員會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釋字第163號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69年6月20日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31</w:t>
            </w:r>
          </w:p>
        </w:tc>
        <w:tc>
          <w:tcPr>
            <w:tcW w:w="674" w:type="pct"/>
          </w:tcPr>
          <w:p w:rsidR="00582143" w:rsidRPr="00A66D33" w:rsidRDefault="00582143" w:rsidP="00582143">
            <w:pPr>
              <w:pStyle w:val="120"/>
            </w:pPr>
            <w:r w:rsidRPr="00A66D33">
              <w:rPr>
                <w:rFonts w:hint="eastAsia"/>
              </w:rPr>
              <w:t>69年1月17日監察院第1屆第1611次會議</w:t>
            </w:r>
          </w:p>
        </w:tc>
        <w:tc>
          <w:tcPr>
            <w:tcW w:w="1220" w:type="pct"/>
          </w:tcPr>
          <w:p w:rsidR="00582143" w:rsidRPr="00A66D33" w:rsidRDefault="00582143" w:rsidP="00582143">
            <w:pPr>
              <w:pStyle w:val="120"/>
            </w:pPr>
            <w:r w:rsidRPr="00A66D33">
              <w:rPr>
                <w:rFonts w:hint="eastAsia"/>
              </w:rPr>
              <w:t>請解釋行政法院引用財稅主管機關，以行政命令變更法律之函令，作為裁判之依據，是否有違租稅法定主義，並牴觸憲法案。</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釋字第167號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70年3月13日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32</w:t>
            </w:r>
          </w:p>
        </w:tc>
        <w:tc>
          <w:tcPr>
            <w:tcW w:w="674" w:type="pct"/>
          </w:tcPr>
          <w:p w:rsidR="00582143" w:rsidRPr="00A66D33" w:rsidRDefault="00582143" w:rsidP="00582143">
            <w:pPr>
              <w:pStyle w:val="120"/>
            </w:pPr>
            <w:r w:rsidRPr="00A66D33">
              <w:rPr>
                <w:rFonts w:hint="eastAsia"/>
              </w:rPr>
              <w:t>69年3月11日監察院第1屆第1614次會議</w:t>
            </w:r>
          </w:p>
        </w:tc>
        <w:tc>
          <w:tcPr>
            <w:tcW w:w="1220" w:type="pct"/>
          </w:tcPr>
          <w:p w:rsidR="00582143" w:rsidRPr="00A66D33" w:rsidRDefault="00582143" w:rsidP="00582143">
            <w:pPr>
              <w:pStyle w:val="120"/>
            </w:pPr>
            <w:r w:rsidRPr="00A66D33">
              <w:rPr>
                <w:rFonts w:hint="eastAsia"/>
              </w:rPr>
              <w:t>請解釋司法院釋字第107號解釋之適用範圍是否包括民法第767條除去妨害請求權在內案。</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釋字第164號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69年7月18日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33</w:t>
            </w:r>
          </w:p>
        </w:tc>
        <w:tc>
          <w:tcPr>
            <w:tcW w:w="674" w:type="pct"/>
          </w:tcPr>
          <w:p w:rsidR="00582143" w:rsidRPr="00A66D33" w:rsidRDefault="00582143" w:rsidP="00582143">
            <w:pPr>
              <w:pStyle w:val="120"/>
            </w:pPr>
            <w:r w:rsidRPr="00A66D33">
              <w:rPr>
                <w:rFonts w:hint="eastAsia"/>
              </w:rPr>
              <w:t>70年10月13日監察院第1屆第1672次會議</w:t>
            </w:r>
          </w:p>
        </w:tc>
        <w:tc>
          <w:tcPr>
            <w:tcW w:w="1220" w:type="pct"/>
          </w:tcPr>
          <w:p w:rsidR="00582143" w:rsidRPr="00A66D33" w:rsidRDefault="00582143" w:rsidP="00582143">
            <w:pPr>
              <w:pStyle w:val="120"/>
            </w:pPr>
            <w:r w:rsidRPr="00A66D33">
              <w:rPr>
                <w:rFonts w:hint="eastAsia"/>
              </w:rPr>
              <w:t>請解釋刑法第5條第5款所規定，第216條之適用，應否包括第210條、第212條、第213條及第215條之行使偽造私文書等在內案。</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釋字第176號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71年8月13日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34</w:t>
            </w:r>
          </w:p>
        </w:tc>
        <w:tc>
          <w:tcPr>
            <w:tcW w:w="674" w:type="pct"/>
          </w:tcPr>
          <w:p w:rsidR="00582143" w:rsidRPr="00A66D33" w:rsidRDefault="00582143" w:rsidP="00582143">
            <w:pPr>
              <w:pStyle w:val="120"/>
            </w:pPr>
            <w:r w:rsidRPr="00A66D33">
              <w:rPr>
                <w:rFonts w:hint="eastAsia"/>
              </w:rPr>
              <w:t>71年3月11日監察院第1屆第1701次會議</w:t>
            </w:r>
          </w:p>
        </w:tc>
        <w:tc>
          <w:tcPr>
            <w:tcW w:w="1220" w:type="pct"/>
          </w:tcPr>
          <w:p w:rsidR="00582143" w:rsidRPr="00A66D33" w:rsidRDefault="00582143" w:rsidP="00582143">
            <w:pPr>
              <w:pStyle w:val="120"/>
            </w:pPr>
            <w:r w:rsidRPr="00A66D33">
              <w:rPr>
                <w:rFonts w:hint="eastAsia"/>
              </w:rPr>
              <w:t>請解釋司法院就所掌事項，有無向立法院提出法律案之權。</w:t>
            </w:r>
          </w:p>
        </w:tc>
        <w:tc>
          <w:tcPr>
            <w:tcW w:w="608" w:type="pct"/>
          </w:tcPr>
          <w:p w:rsidR="00582143" w:rsidRPr="00A66D33" w:rsidRDefault="00582143" w:rsidP="00582143">
            <w:pPr>
              <w:pStyle w:val="120"/>
            </w:pPr>
            <w:r w:rsidRPr="00A66D33">
              <w:rPr>
                <w:rFonts w:hint="eastAsia"/>
              </w:rPr>
              <w:t>陳委員翰珍等53委員</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釋字第175號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71年5月25日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35</w:t>
            </w:r>
          </w:p>
        </w:tc>
        <w:tc>
          <w:tcPr>
            <w:tcW w:w="674" w:type="pct"/>
          </w:tcPr>
          <w:p w:rsidR="00582143" w:rsidRPr="00A66D33" w:rsidRDefault="00582143" w:rsidP="00582143">
            <w:pPr>
              <w:pStyle w:val="120"/>
            </w:pPr>
            <w:r w:rsidRPr="00A66D33">
              <w:rPr>
                <w:rFonts w:hint="eastAsia"/>
              </w:rPr>
              <w:t>71年4月15日監察院第1屆第1703次會議</w:t>
            </w:r>
          </w:p>
        </w:tc>
        <w:tc>
          <w:tcPr>
            <w:tcW w:w="1220" w:type="pct"/>
          </w:tcPr>
          <w:p w:rsidR="00582143" w:rsidRPr="00A66D33" w:rsidRDefault="00582143" w:rsidP="00582143">
            <w:pPr>
              <w:pStyle w:val="120"/>
            </w:pPr>
            <w:r w:rsidRPr="00A66D33">
              <w:rPr>
                <w:rFonts w:hint="eastAsia"/>
              </w:rPr>
              <w:t>請解釋刑事訴訟法第17條第8款「推事參與前審之裁判者」，於該管案件應自行迴避，不得執行職務之規定，其所謂「前審」之疑議案。</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釋字第178號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71年12月31日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36</w:t>
            </w:r>
          </w:p>
        </w:tc>
        <w:tc>
          <w:tcPr>
            <w:tcW w:w="674" w:type="pct"/>
          </w:tcPr>
          <w:p w:rsidR="00582143" w:rsidRPr="00A66D33" w:rsidRDefault="00582143" w:rsidP="00582143">
            <w:pPr>
              <w:pStyle w:val="120"/>
            </w:pPr>
            <w:r w:rsidRPr="00A66D33">
              <w:rPr>
                <w:rFonts w:hint="eastAsia"/>
              </w:rPr>
              <w:t>71年9月16日監察院第1屆第1714次會議</w:t>
            </w:r>
          </w:p>
        </w:tc>
        <w:tc>
          <w:tcPr>
            <w:tcW w:w="1220" w:type="pct"/>
          </w:tcPr>
          <w:p w:rsidR="00582143" w:rsidRPr="00A66D33" w:rsidRDefault="00582143" w:rsidP="00582143">
            <w:pPr>
              <w:pStyle w:val="120"/>
            </w:pPr>
            <w:r w:rsidRPr="00A66D33">
              <w:rPr>
                <w:rFonts w:hint="eastAsia"/>
              </w:rPr>
              <w:t>請解釋刑事訴訟法第447條第1項第1款所謂判決違背法令，不僅指違背實體法，即程序違法，而影響實體違法，自亦包括在內。惟司法</w:t>
            </w:r>
            <w:r w:rsidRPr="00A66D33">
              <w:rPr>
                <w:rFonts w:hint="eastAsia"/>
              </w:rPr>
              <w:lastRenderedPageBreak/>
              <w:t>院及最高法院認為僅係程序違法，而不予實體上之救濟，與本院所持見解有異案。</w:t>
            </w:r>
          </w:p>
        </w:tc>
        <w:tc>
          <w:tcPr>
            <w:tcW w:w="608" w:type="pct"/>
          </w:tcPr>
          <w:p w:rsidR="00582143" w:rsidRPr="00A66D33" w:rsidRDefault="00582143" w:rsidP="00582143">
            <w:pPr>
              <w:pStyle w:val="120"/>
            </w:pPr>
            <w:r w:rsidRPr="00A66D33">
              <w:rPr>
                <w:rFonts w:hint="eastAsia"/>
              </w:rPr>
              <w:lastRenderedPageBreak/>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釋字第181號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72年7月1日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37</w:t>
            </w:r>
          </w:p>
        </w:tc>
        <w:tc>
          <w:tcPr>
            <w:tcW w:w="674" w:type="pct"/>
          </w:tcPr>
          <w:p w:rsidR="00582143" w:rsidRPr="00A66D33" w:rsidRDefault="00582143" w:rsidP="00582143">
            <w:pPr>
              <w:pStyle w:val="120"/>
            </w:pPr>
            <w:r w:rsidRPr="00A66D33">
              <w:rPr>
                <w:rFonts w:hint="eastAsia"/>
              </w:rPr>
              <w:t>72年9月13日監察院第1屆第1754次會議</w:t>
            </w:r>
          </w:p>
        </w:tc>
        <w:tc>
          <w:tcPr>
            <w:tcW w:w="1220" w:type="pct"/>
          </w:tcPr>
          <w:p w:rsidR="00582143" w:rsidRPr="00A66D33" w:rsidRDefault="00582143" w:rsidP="00582143">
            <w:pPr>
              <w:pStyle w:val="120"/>
            </w:pPr>
            <w:r w:rsidRPr="00A66D33">
              <w:rPr>
                <w:rFonts w:hint="eastAsia"/>
              </w:rPr>
              <w:t>關於司法院解釋之效力，如係就現有之法律文義或立法本旨予以闡明者，例如釋字第178號解釋，應自該法律施行之日起生效；如係變更原有之規定或變更原有之解釋者，則自解釋之翌日起生效，本院與行政院及最高法院判例所持意見相異，爰依司法院大法官會議法第7條及以往事例，再就釋字第178號解釋。</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釋字第188號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73年8月3日</w:t>
            </w:r>
          </w:p>
        </w:tc>
        <w:tc>
          <w:tcPr>
            <w:tcW w:w="1219" w:type="pct"/>
          </w:tcPr>
          <w:p w:rsidR="00582143" w:rsidRPr="00A66D33" w:rsidRDefault="00582143" w:rsidP="00582143">
            <w:pPr>
              <w:pStyle w:val="120"/>
            </w:pPr>
            <w:r w:rsidRPr="00A66D33">
              <w:rPr>
                <w:rFonts w:hint="eastAsia"/>
              </w:rPr>
              <w:t>釋字第178號解釋，係經71年4月15日監察院第1屆第1703次會議決議聲請解釋。</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38</w:t>
            </w:r>
          </w:p>
        </w:tc>
        <w:tc>
          <w:tcPr>
            <w:tcW w:w="674" w:type="pct"/>
          </w:tcPr>
          <w:p w:rsidR="00582143" w:rsidRPr="00A66D33" w:rsidRDefault="00582143" w:rsidP="00582143">
            <w:pPr>
              <w:pStyle w:val="120"/>
            </w:pPr>
            <w:r w:rsidRPr="00A66D33">
              <w:rPr>
                <w:rFonts w:hint="eastAsia"/>
              </w:rPr>
              <w:t>77年2月9日監察院第1屆第1904次會議</w:t>
            </w:r>
          </w:p>
        </w:tc>
        <w:tc>
          <w:tcPr>
            <w:tcW w:w="1220" w:type="pct"/>
          </w:tcPr>
          <w:p w:rsidR="00582143" w:rsidRPr="00A66D33" w:rsidRDefault="00582143" w:rsidP="00582143">
            <w:pPr>
              <w:pStyle w:val="120"/>
            </w:pPr>
            <w:r w:rsidRPr="00A66D33">
              <w:rPr>
                <w:rFonts w:hint="eastAsia"/>
              </w:rPr>
              <w:t>關於現行工廠法施行細則所稱工人定義之適用範圍，司法院已表示之見解，與本院所持見解有異。</w:t>
            </w:r>
          </w:p>
        </w:tc>
        <w:tc>
          <w:tcPr>
            <w:tcW w:w="608" w:type="pct"/>
          </w:tcPr>
          <w:p w:rsidR="00582143" w:rsidRPr="00A66D33" w:rsidRDefault="00582143" w:rsidP="00582143">
            <w:pPr>
              <w:pStyle w:val="120"/>
            </w:pPr>
            <w:r w:rsidRPr="00A66D33">
              <w:rPr>
                <w:rFonts w:hint="eastAsia"/>
              </w:rPr>
              <w:t>內政、司法委員會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釋字第226號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77年5月20日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39</w:t>
            </w:r>
          </w:p>
        </w:tc>
        <w:tc>
          <w:tcPr>
            <w:tcW w:w="674" w:type="pct"/>
          </w:tcPr>
          <w:p w:rsidR="00582143" w:rsidRPr="00A66D33" w:rsidRDefault="00582143" w:rsidP="00582143">
            <w:pPr>
              <w:pStyle w:val="120"/>
            </w:pPr>
            <w:r w:rsidRPr="00A66D33">
              <w:rPr>
                <w:rFonts w:hint="eastAsia"/>
              </w:rPr>
              <w:t>77年4月12日監察院第1屆第1907次會議</w:t>
            </w:r>
          </w:p>
        </w:tc>
        <w:tc>
          <w:tcPr>
            <w:tcW w:w="1220" w:type="pct"/>
          </w:tcPr>
          <w:p w:rsidR="00582143" w:rsidRPr="00A66D33" w:rsidRDefault="00582143" w:rsidP="00582143">
            <w:pPr>
              <w:pStyle w:val="120"/>
            </w:pPr>
            <w:r w:rsidRPr="00A66D33">
              <w:rPr>
                <w:rFonts w:hint="eastAsia"/>
              </w:rPr>
              <w:t>動產擔保交易法第38條之罪，所稱動產擔保交易之債務人，係指動產抵押之動產所有人、附條件買賣之買受人、信託占有之受託人，始得為本罪之犯罪主體。債務人之法定代理人、保證人、連帶保證人或其他利害關係人除有刑法第31條共同實施或教唆、幫助之情形，應以共犯論外，不能單獨成立本罪。已確定臺灣高等法院臺南分院判決所持見解，不僅與罪刑法定主義之原則有所牴觸，且</w:t>
            </w:r>
            <w:r w:rsidRPr="00A66D33">
              <w:rPr>
                <w:rFonts w:hint="eastAsia"/>
              </w:rPr>
              <w:lastRenderedPageBreak/>
              <w:t>與本院之見解有異。</w:t>
            </w:r>
          </w:p>
        </w:tc>
        <w:tc>
          <w:tcPr>
            <w:tcW w:w="608" w:type="pct"/>
          </w:tcPr>
          <w:p w:rsidR="00582143" w:rsidRPr="00A66D33" w:rsidRDefault="00582143" w:rsidP="00582143">
            <w:pPr>
              <w:pStyle w:val="120"/>
            </w:pPr>
            <w:r w:rsidRPr="00A66D33">
              <w:rPr>
                <w:rFonts w:hint="eastAsia"/>
              </w:rPr>
              <w:lastRenderedPageBreak/>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釋字第227號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77年6月17日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40</w:t>
            </w:r>
          </w:p>
        </w:tc>
        <w:tc>
          <w:tcPr>
            <w:tcW w:w="674" w:type="pct"/>
          </w:tcPr>
          <w:p w:rsidR="00582143" w:rsidRPr="00A66D33" w:rsidRDefault="00582143" w:rsidP="00582143">
            <w:pPr>
              <w:pStyle w:val="120"/>
            </w:pPr>
            <w:r w:rsidRPr="00A66D33">
              <w:rPr>
                <w:rFonts w:hint="eastAsia"/>
              </w:rPr>
              <w:t>77年9月13日監察院第1屆第1914次會議</w:t>
            </w:r>
          </w:p>
        </w:tc>
        <w:tc>
          <w:tcPr>
            <w:tcW w:w="1220" w:type="pct"/>
          </w:tcPr>
          <w:p w:rsidR="00582143" w:rsidRPr="00A66D33" w:rsidRDefault="00582143" w:rsidP="00582143">
            <w:pPr>
              <w:pStyle w:val="120"/>
            </w:pPr>
            <w:r w:rsidRPr="00A66D33">
              <w:rPr>
                <w:rFonts w:hint="eastAsia"/>
              </w:rPr>
              <w:t>本院調查李０淵陳情一案，最高法院72年度台非字第135號刑事判決，依據該院29年2月22日刑庭總會決議，駁回上訴，其所持理由，與本院之見解有異，對於該一決議是否適法，適用範圍如何，均滋疑義，函請解釋，並就釋字第181號解釋併請補充解釋見復。</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釋字第238號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78年3月31日</w:t>
            </w:r>
          </w:p>
        </w:tc>
        <w:tc>
          <w:tcPr>
            <w:tcW w:w="1219" w:type="pct"/>
          </w:tcPr>
          <w:p w:rsidR="00582143" w:rsidRPr="00A66D33" w:rsidRDefault="00582143" w:rsidP="00582143">
            <w:pPr>
              <w:pStyle w:val="120"/>
            </w:pPr>
            <w:r w:rsidRPr="00A66D33">
              <w:rPr>
                <w:rFonts w:hint="eastAsia"/>
              </w:rPr>
              <w:t>釋字第181號解釋，係經71年9月16日監察院第1屆第1714次會議決議聲請解釋。</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41</w:t>
            </w:r>
          </w:p>
        </w:tc>
        <w:tc>
          <w:tcPr>
            <w:tcW w:w="674" w:type="pct"/>
          </w:tcPr>
          <w:p w:rsidR="00582143" w:rsidRPr="00A66D33" w:rsidRDefault="00582143" w:rsidP="00582143">
            <w:pPr>
              <w:pStyle w:val="120"/>
            </w:pPr>
            <w:r w:rsidRPr="00A66D33">
              <w:rPr>
                <w:rFonts w:hint="eastAsia"/>
              </w:rPr>
              <w:t>78年7月11日監察院第1屆第1942次會議</w:t>
            </w:r>
          </w:p>
        </w:tc>
        <w:tc>
          <w:tcPr>
            <w:tcW w:w="1220" w:type="pct"/>
          </w:tcPr>
          <w:p w:rsidR="00582143" w:rsidRPr="00A66D33" w:rsidRDefault="00582143" w:rsidP="00582143">
            <w:pPr>
              <w:pStyle w:val="120"/>
            </w:pPr>
            <w:r w:rsidRPr="00A66D33">
              <w:rPr>
                <w:rFonts w:hint="eastAsia"/>
              </w:rPr>
              <w:t>關於本院對軍人之彈劾案，究應移送司法院公務員懲戒委員會懲戒，抑仍移送國防部自行議處，本院在適用法律上發生疑義。</w:t>
            </w:r>
          </w:p>
        </w:tc>
        <w:tc>
          <w:tcPr>
            <w:tcW w:w="608" w:type="pct"/>
          </w:tcPr>
          <w:p w:rsidR="00582143" w:rsidRPr="00A66D33" w:rsidRDefault="00582143" w:rsidP="00582143">
            <w:pPr>
              <w:pStyle w:val="120"/>
            </w:pPr>
            <w:r w:rsidRPr="00A66D33">
              <w:rPr>
                <w:rFonts w:hint="eastAsia"/>
              </w:rPr>
              <w:t>法規研究委員會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釋字第262號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79年7月6日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42</w:t>
            </w:r>
          </w:p>
        </w:tc>
        <w:tc>
          <w:tcPr>
            <w:tcW w:w="674" w:type="pct"/>
          </w:tcPr>
          <w:p w:rsidR="00582143" w:rsidRPr="00A66D33" w:rsidRDefault="00582143" w:rsidP="00582143">
            <w:pPr>
              <w:pStyle w:val="120"/>
            </w:pPr>
            <w:r w:rsidRPr="00A66D33">
              <w:rPr>
                <w:rFonts w:hint="eastAsia"/>
              </w:rPr>
              <w:t>81年5月12日監察院第1屆第2016次會議</w:t>
            </w:r>
          </w:p>
        </w:tc>
        <w:tc>
          <w:tcPr>
            <w:tcW w:w="1220" w:type="pct"/>
          </w:tcPr>
          <w:p w:rsidR="00582143" w:rsidRPr="00A66D33" w:rsidRDefault="00582143" w:rsidP="00582143">
            <w:pPr>
              <w:pStyle w:val="120"/>
            </w:pPr>
            <w:r w:rsidRPr="00A66D33">
              <w:rPr>
                <w:rFonts w:hint="eastAsia"/>
              </w:rPr>
              <w:t>關於公職人員選舉罷免法第69條第2項規定「全國不分區、僑居國外國民選舉之當選人，不適用罷免之規定」有無與憲法之規定相牴觸。</w:t>
            </w:r>
          </w:p>
        </w:tc>
        <w:tc>
          <w:tcPr>
            <w:tcW w:w="608" w:type="pct"/>
          </w:tcPr>
          <w:p w:rsidR="00582143" w:rsidRPr="00A66D33" w:rsidRDefault="00582143" w:rsidP="00582143">
            <w:pPr>
              <w:pStyle w:val="120"/>
            </w:pPr>
            <w:r w:rsidRPr="00A66D33">
              <w:rPr>
                <w:rFonts w:hint="eastAsia"/>
              </w:rPr>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釋字第331號 </w:t>
            </w:r>
          </w:p>
          <w:p w:rsidR="00582143" w:rsidRPr="00A66D33" w:rsidRDefault="00582143" w:rsidP="00582143">
            <w:pPr>
              <w:pStyle w:val="120"/>
            </w:pPr>
            <w:r w:rsidRPr="00A66D33">
              <w:rPr>
                <w:rFonts w:hint="eastAsia"/>
              </w:rPr>
              <w:t>◎解釋公布日期： 82年12月30日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43</w:t>
            </w:r>
          </w:p>
        </w:tc>
        <w:tc>
          <w:tcPr>
            <w:tcW w:w="674" w:type="pct"/>
          </w:tcPr>
          <w:p w:rsidR="00582143" w:rsidRPr="00A66D33" w:rsidRDefault="00582143" w:rsidP="00582143">
            <w:pPr>
              <w:pStyle w:val="120"/>
            </w:pPr>
            <w:r w:rsidRPr="00A66D33">
              <w:rPr>
                <w:rFonts w:hint="eastAsia"/>
              </w:rPr>
              <w:t>85年2月13日監察院第2屆第38次會議</w:t>
            </w:r>
          </w:p>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關於財政部處理彰化第四信用合作社案援引信用合作社法第27條及銀行法第62條之規定，命令臺灣省合作金庫概括承受，於法似有未符，且省縣自治法實施後，中央部會是否有權逕自命令省屬金融機構概括承受另一信用合作社案。</w:t>
            </w:r>
          </w:p>
        </w:tc>
        <w:tc>
          <w:tcPr>
            <w:tcW w:w="608" w:type="pct"/>
          </w:tcPr>
          <w:p w:rsidR="00582143" w:rsidRPr="00A66D33" w:rsidRDefault="00582143" w:rsidP="00582143">
            <w:pPr>
              <w:pStyle w:val="120"/>
            </w:pPr>
            <w:r w:rsidRPr="00A66D33">
              <w:rPr>
                <w:rFonts w:hint="eastAsia"/>
              </w:rPr>
              <w:t>財政、司法委員會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釋字第489號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88年7月30日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44</w:t>
            </w:r>
          </w:p>
        </w:tc>
        <w:tc>
          <w:tcPr>
            <w:tcW w:w="674" w:type="pct"/>
          </w:tcPr>
          <w:p w:rsidR="00582143" w:rsidRPr="00A66D33" w:rsidRDefault="00582143" w:rsidP="00582143">
            <w:pPr>
              <w:pStyle w:val="120"/>
            </w:pPr>
            <w:r w:rsidRPr="00A66D33">
              <w:rPr>
                <w:rFonts w:hint="eastAsia"/>
              </w:rPr>
              <w:t>85年10月8日監察院第2屆第46次會議</w:t>
            </w:r>
          </w:p>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關於黃委員越欽自動調查，有關司法院及法務部在無法律授權之下，發布「法院辦理刑事訴訟案件應行注意</w:t>
            </w:r>
            <w:r w:rsidRPr="00A66D33">
              <w:rPr>
                <w:rFonts w:hint="eastAsia"/>
              </w:rPr>
              <w:lastRenderedPageBreak/>
              <w:t>事項」、「檢察機關辦理刑事被告具保責付辦法」等，與人民訴訟權利或人權有關之行政命令或內規，嚴重違反憲法第23條法律保留原則及中央法規標準法案。</w:t>
            </w:r>
          </w:p>
        </w:tc>
        <w:tc>
          <w:tcPr>
            <w:tcW w:w="608" w:type="pct"/>
          </w:tcPr>
          <w:p w:rsidR="00582143" w:rsidRPr="00A66D33" w:rsidRDefault="00582143" w:rsidP="00582143">
            <w:pPr>
              <w:pStyle w:val="120"/>
            </w:pPr>
            <w:r w:rsidRPr="00A66D33">
              <w:rPr>
                <w:rFonts w:hint="eastAsia"/>
              </w:rPr>
              <w:lastRenderedPageBreak/>
              <w:t>司法委員會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釋字第530號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90年10月5日　</w:t>
            </w:r>
          </w:p>
          <w:p w:rsidR="00582143" w:rsidRPr="00A66D33" w:rsidRDefault="00582143" w:rsidP="00582143">
            <w:pPr>
              <w:pStyle w:val="120"/>
            </w:pPr>
          </w:p>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lastRenderedPageBreak/>
              <w:t>87年2月10日監察院第2屆第75次會議決議，以87年2月19日院台司字第872600051號函補正說明，請司法院惠予</w:t>
            </w:r>
            <w:r w:rsidRPr="00A66D33">
              <w:rPr>
                <w:rFonts w:hint="eastAsia"/>
              </w:rPr>
              <w:lastRenderedPageBreak/>
              <w:t>解釋憲法見復。</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lastRenderedPageBreak/>
              <w:t>45</w:t>
            </w:r>
          </w:p>
        </w:tc>
        <w:tc>
          <w:tcPr>
            <w:tcW w:w="674" w:type="pct"/>
          </w:tcPr>
          <w:p w:rsidR="00582143" w:rsidRPr="00A66D33" w:rsidRDefault="00582143" w:rsidP="00582143">
            <w:pPr>
              <w:pStyle w:val="120"/>
            </w:pPr>
            <w:r w:rsidRPr="00A66D33">
              <w:rPr>
                <w:rFonts w:hint="eastAsia"/>
              </w:rPr>
              <w:t>87年6月23日監察院第2屆第84次會議</w:t>
            </w:r>
          </w:p>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康委員寧祥、趙委員榮耀、李委員伸一調查，有關都市計畫區內之非公共設施用地，行政院未經都市計畫變更程序，逕予辦理徵收，明顯違反土地法及都市計畫法規定等情案，因本院與行政院之見解不同而影響人民財產權益甚鉅，有適法上之疑義。</w:t>
            </w:r>
          </w:p>
        </w:tc>
        <w:tc>
          <w:tcPr>
            <w:tcW w:w="608" w:type="pct"/>
          </w:tcPr>
          <w:p w:rsidR="00582143" w:rsidRPr="00A66D33" w:rsidRDefault="00582143" w:rsidP="00582143">
            <w:pPr>
              <w:pStyle w:val="120"/>
            </w:pPr>
            <w:r w:rsidRPr="00A66D33">
              <w:rPr>
                <w:rFonts w:hint="eastAsia"/>
              </w:rPr>
              <w:t>司法及獄政委員會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釋字第513號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89年9月29日</w:t>
            </w:r>
          </w:p>
        </w:tc>
        <w:tc>
          <w:tcPr>
            <w:tcW w:w="1219" w:type="pct"/>
          </w:tcPr>
          <w:p w:rsidR="00582143" w:rsidRPr="00A66D33" w:rsidRDefault="00582143" w:rsidP="00582143">
            <w:pPr>
              <w:pStyle w:val="120"/>
            </w:pPr>
            <w:r w:rsidRPr="00A66D33">
              <w:rPr>
                <w:rFonts w:hint="eastAsia"/>
              </w:rPr>
              <w:t>依87年1月7日修訂之監察院各委員會組織法，本院各委員會名稱均作修正。</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46</w:t>
            </w:r>
          </w:p>
        </w:tc>
        <w:tc>
          <w:tcPr>
            <w:tcW w:w="674" w:type="pct"/>
          </w:tcPr>
          <w:p w:rsidR="00582143" w:rsidRPr="00A66D33" w:rsidRDefault="00582143" w:rsidP="00582143">
            <w:pPr>
              <w:pStyle w:val="120"/>
            </w:pPr>
            <w:r w:rsidRPr="00A66D33">
              <w:rPr>
                <w:rFonts w:hint="eastAsia"/>
              </w:rPr>
              <w:t>87年7月14日監察院第2屆第85次會議</w:t>
            </w:r>
          </w:p>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已報廢原供營業用之貨車，究為一般物品，抑仍為供營業用之貨車，因本院調查人民陳訴案件，於適用法律所持之見解，與最高法院適用同一法律所表示之見解有異。</w:t>
            </w:r>
          </w:p>
        </w:tc>
        <w:tc>
          <w:tcPr>
            <w:tcW w:w="608" w:type="pct"/>
          </w:tcPr>
          <w:p w:rsidR="00582143" w:rsidRPr="00A66D33" w:rsidRDefault="00582143" w:rsidP="00582143">
            <w:pPr>
              <w:pStyle w:val="120"/>
            </w:pPr>
            <w:r w:rsidRPr="00A66D33">
              <w:rPr>
                <w:rFonts w:hint="eastAsia"/>
              </w:rPr>
              <w:t>司法及獄政委員會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司法院88年6月15日院台大二字第15240號函：議決不受理。</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47</w:t>
            </w:r>
          </w:p>
        </w:tc>
        <w:tc>
          <w:tcPr>
            <w:tcW w:w="674" w:type="pct"/>
          </w:tcPr>
          <w:p w:rsidR="00582143" w:rsidRPr="00A66D33" w:rsidRDefault="00582143" w:rsidP="00582143">
            <w:pPr>
              <w:pStyle w:val="120"/>
            </w:pPr>
            <w:r w:rsidRPr="00A66D33">
              <w:rPr>
                <w:rFonts w:hint="eastAsia"/>
              </w:rPr>
              <w:t>87年12月22日監察院第2屆第96次會議</w:t>
            </w:r>
          </w:p>
          <w:p w:rsidR="00582143" w:rsidRPr="00A66D33" w:rsidRDefault="00582143" w:rsidP="00582143">
            <w:pPr>
              <w:pStyle w:val="120"/>
            </w:pPr>
          </w:p>
        </w:tc>
        <w:tc>
          <w:tcPr>
            <w:tcW w:w="1220" w:type="pct"/>
          </w:tcPr>
          <w:p w:rsidR="00582143" w:rsidRPr="00A66D33" w:rsidRDefault="00582143" w:rsidP="00582143">
            <w:pPr>
              <w:pStyle w:val="120"/>
            </w:pPr>
            <w:r w:rsidRPr="00A66D33">
              <w:rPr>
                <w:rFonts w:hint="eastAsia"/>
              </w:rPr>
              <w:t>葉委員耀鵬、謝委員孟雄自動調查，有關臺灣省政府未依農田水利會組織通則第19條之規定，經縣主管機關同意，即率予遴派屏東農田水利會會長，涉有違失等情乙案，關於行政院農業委員會之行政釋示與農田水利會組織通則等規定，有牴觸之疑惑，並造成省、縣間之爭議，影響農田水利會業務正常運作一</w:t>
            </w:r>
            <w:r w:rsidRPr="00A66D33">
              <w:rPr>
                <w:rFonts w:hint="eastAsia"/>
              </w:rPr>
              <w:lastRenderedPageBreak/>
              <w:t>節，本院所持見解與行政院農業委員會函之見解不同，有適法上之疑義。</w:t>
            </w:r>
          </w:p>
        </w:tc>
        <w:tc>
          <w:tcPr>
            <w:tcW w:w="608" w:type="pct"/>
          </w:tcPr>
          <w:p w:rsidR="00582143" w:rsidRPr="00A66D33" w:rsidRDefault="00582143" w:rsidP="00582143">
            <w:pPr>
              <w:pStyle w:val="120"/>
            </w:pPr>
            <w:r w:rsidRPr="00A66D33">
              <w:rPr>
                <w:rFonts w:hint="eastAsia"/>
              </w:rPr>
              <w:lastRenderedPageBreak/>
              <w:t>財政及經濟委員會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司法院88年9月16日院台大二字第01469號函：議決不受理。</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48</w:t>
            </w:r>
          </w:p>
        </w:tc>
        <w:tc>
          <w:tcPr>
            <w:tcW w:w="674" w:type="pct"/>
          </w:tcPr>
          <w:p w:rsidR="00582143" w:rsidRPr="00A66D33" w:rsidRDefault="00582143" w:rsidP="00582143">
            <w:pPr>
              <w:pStyle w:val="120"/>
            </w:pPr>
            <w:r w:rsidRPr="00A66D33">
              <w:rPr>
                <w:rFonts w:hint="eastAsia"/>
              </w:rPr>
              <w:t>91年12月10日監察院第3屆第47次會議</w:t>
            </w:r>
          </w:p>
        </w:tc>
        <w:tc>
          <w:tcPr>
            <w:tcW w:w="1220" w:type="pct"/>
          </w:tcPr>
          <w:p w:rsidR="00582143" w:rsidRPr="00A66D33" w:rsidRDefault="00582143" w:rsidP="00582143">
            <w:pPr>
              <w:pStyle w:val="120"/>
            </w:pPr>
            <w:r w:rsidRPr="00A66D33">
              <w:rPr>
                <w:rFonts w:hint="eastAsia"/>
              </w:rPr>
              <w:t>新竹科學工業園區第3期徵收用地，因未於法定期間內實施開發，致編定失其效力，又遲不徵收，致部分務農地主需負擔鉅額遺產稅案，與行政院所持見解有異。</w:t>
            </w:r>
          </w:p>
        </w:tc>
        <w:tc>
          <w:tcPr>
            <w:tcW w:w="608" w:type="pct"/>
          </w:tcPr>
          <w:p w:rsidR="00582143" w:rsidRPr="00A66D33" w:rsidRDefault="00582143" w:rsidP="00582143">
            <w:pPr>
              <w:pStyle w:val="120"/>
            </w:pPr>
            <w:r w:rsidRPr="00A66D33">
              <w:rPr>
                <w:rFonts w:hint="eastAsia"/>
              </w:rPr>
              <w:t>財政及經濟、內政及少數民族、司法及獄政委員會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釋字第566號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92年9月26日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49</w:t>
            </w:r>
          </w:p>
        </w:tc>
        <w:tc>
          <w:tcPr>
            <w:tcW w:w="674" w:type="pct"/>
          </w:tcPr>
          <w:p w:rsidR="00582143" w:rsidRPr="00A66D33" w:rsidRDefault="00582143" w:rsidP="00582143">
            <w:pPr>
              <w:pStyle w:val="120"/>
            </w:pPr>
            <w:r w:rsidRPr="00A66D33">
              <w:rPr>
                <w:rFonts w:hint="eastAsia"/>
              </w:rPr>
              <w:t>93年9月14日監察院第3屆第68次會議</w:t>
            </w:r>
          </w:p>
        </w:tc>
        <w:tc>
          <w:tcPr>
            <w:tcW w:w="1220" w:type="pct"/>
          </w:tcPr>
          <w:p w:rsidR="00582143" w:rsidRPr="00A66D33" w:rsidRDefault="00582143" w:rsidP="00582143">
            <w:pPr>
              <w:pStyle w:val="120"/>
            </w:pPr>
            <w:r w:rsidRPr="00A66D33">
              <w:rPr>
                <w:rFonts w:hint="eastAsia"/>
              </w:rPr>
              <w:t>本院為處理政務人員退職案件，適用新公布施行之「政務人員退職撫卹條例」，發生有牴觸憲法上之疑義，並與考試院（銓敘部）之見解發生歧異。</w:t>
            </w:r>
          </w:p>
        </w:tc>
        <w:tc>
          <w:tcPr>
            <w:tcW w:w="608" w:type="pct"/>
          </w:tcPr>
          <w:p w:rsidR="00582143" w:rsidRPr="00A66D33" w:rsidRDefault="00582143" w:rsidP="00582143">
            <w:pPr>
              <w:pStyle w:val="120"/>
            </w:pPr>
            <w:r w:rsidRPr="00A66D33">
              <w:rPr>
                <w:rFonts w:hint="eastAsia"/>
              </w:rPr>
              <w:t>人事室</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釋字第589號 </w:t>
            </w:r>
          </w:p>
          <w:p w:rsidR="00582143" w:rsidRPr="00A66D33" w:rsidRDefault="00582143" w:rsidP="00582143">
            <w:pPr>
              <w:pStyle w:val="120"/>
            </w:pPr>
            <w:r w:rsidRPr="00A66D33">
              <w:rPr>
                <w:rFonts w:hint="eastAsia"/>
              </w:rPr>
              <w:t>◎解釋公布日期：</w:t>
            </w:r>
          </w:p>
          <w:p w:rsidR="00582143" w:rsidRPr="00A66D33" w:rsidRDefault="00582143" w:rsidP="00582143">
            <w:pPr>
              <w:pStyle w:val="120"/>
            </w:pPr>
            <w:r w:rsidRPr="00A66D33">
              <w:rPr>
                <w:rFonts w:hint="eastAsia"/>
              </w:rPr>
              <w:t xml:space="preserve">  94年1月28日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50</w:t>
            </w:r>
          </w:p>
        </w:tc>
        <w:tc>
          <w:tcPr>
            <w:tcW w:w="674" w:type="pct"/>
          </w:tcPr>
          <w:p w:rsidR="00582143" w:rsidRPr="00A66D33" w:rsidRDefault="00582143" w:rsidP="00582143">
            <w:pPr>
              <w:pStyle w:val="120"/>
            </w:pPr>
            <w:r w:rsidRPr="00A66D33">
              <w:rPr>
                <w:rFonts w:hint="eastAsia"/>
              </w:rPr>
              <w:t>93年11月9日監察院第3屆第70次會議</w:t>
            </w:r>
          </w:p>
        </w:tc>
        <w:tc>
          <w:tcPr>
            <w:tcW w:w="1220" w:type="pct"/>
          </w:tcPr>
          <w:p w:rsidR="00582143" w:rsidRPr="00A66D33" w:rsidRDefault="00582143" w:rsidP="00582143">
            <w:pPr>
              <w:pStyle w:val="120"/>
            </w:pPr>
            <w:r w:rsidRPr="00A66D33">
              <w:rPr>
                <w:rFonts w:hint="eastAsia"/>
              </w:rPr>
              <w:t>有關義務人死亡之土地增值稅違章罰鍰之執行，雖無法律明文規定，惟財政部無視司法機關之解釋，逕以函釋之方式，認定該已確定之行政罰鍰為公法上之租稅債務，或依據行政執行法第15條之規定，或類推適用刑事訴訟法有關罰金執行之規定，而移送相關執行處強制執行，有違憲法第19條租稅法律主義之本旨，嚴重侵害人民之權益，核有違失案相關調查意見，與行政院所持見解有異。</w:t>
            </w:r>
          </w:p>
        </w:tc>
        <w:tc>
          <w:tcPr>
            <w:tcW w:w="608" w:type="pct"/>
          </w:tcPr>
          <w:p w:rsidR="00582143" w:rsidRPr="00A66D33" w:rsidRDefault="00582143" w:rsidP="00582143">
            <w:pPr>
              <w:pStyle w:val="120"/>
            </w:pPr>
            <w:r w:rsidRPr="00A66D33">
              <w:rPr>
                <w:rFonts w:hint="eastAsia"/>
              </w:rPr>
              <w:t>財政及經濟、司法及獄政委員會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 xml:space="preserve">釋字第621號 </w:t>
            </w:r>
          </w:p>
          <w:p w:rsidR="00582143" w:rsidRPr="00A66D33" w:rsidRDefault="00582143" w:rsidP="00582143">
            <w:pPr>
              <w:pStyle w:val="120"/>
            </w:pPr>
            <w:r w:rsidRPr="00A66D33">
              <w:rPr>
                <w:rFonts w:hint="eastAsia"/>
              </w:rPr>
              <w:t>◎解釋公布日期： 95年12月22日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51</w:t>
            </w:r>
          </w:p>
        </w:tc>
        <w:tc>
          <w:tcPr>
            <w:tcW w:w="674" w:type="pct"/>
          </w:tcPr>
          <w:p w:rsidR="00582143" w:rsidRPr="00A66D33" w:rsidRDefault="00582143" w:rsidP="00582143">
            <w:pPr>
              <w:pStyle w:val="120"/>
            </w:pPr>
            <w:r w:rsidRPr="00A66D33">
              <w:rPr>
                <w:rFonts w:hint="eastAsia"/>
              </w:rPr>
              <w:t>99年6月8日監察院第4屆第24次會議</w:t>
            </w:r>
          </w:p>
        </w:tc>
        <w:tc>
          <w:tcPr>
            <w:tcW w:w="1220" w:type="pct"/>
          </w:tcPr>
          <w:p w:rsidR="00582143" w:rsidRPr="00A66D33" w:rsidRDefault="00582143" w:rsidP="00582143">
            <w:pPr>
              <w:pStyle w:val="120"/>
            </w:pPr>
            <w:r w:rsidRPr="00A66D33">
              <w:rPr>
                <w:rFonts w:hint="eastAsia"/>
              </w:rPr>
              <w:t>李委員復甸、錢林委員慧君提「法院組織法第66條第7項是否抵觸憲法第53條暨增修條文第3條第2項規定疑義</w:t>
            </w:r>
            <w:r w:rsidRPr="00A66D33">
              <w:rPr>
                <w:rFonts w:hint="eastAsia"/>
              </w:rPr>
              <w:lastRenderedPageBreak/>
              <w:t>等情」聲請司法院大法官解釋乙案。</w:t>
            </w:r>
          </w:p>
        </w:tc>
        <w:tc>
          <w:tcPr>
            <w:tcW w:w="608" w:type="pct"/>
          </w:tcPr>
          <w:p w:rsidR="00582143" w:rsidRPr="00A66D33" w:rsidRDefault="00582143" w:rsidP="00582143">
            <w:pPr>
              <w:pStyle w:val="120"/>
            </w:pPr>
            <w:r w:rsidRPr="00A66D33">
              <w:rPr>
                <w:rFonts w:hint="eastAsia"/>
              </w:rPr>
              <w:lastRenderedPageBreak/>
              <w:t>司法及獄政委員會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司法院99年8月3日院台大二字第0330014693號函：議決不受理。</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52</w:t>
            </w:r>
          </w:p>
        </w:tc>
        <w:tc>
          <w:tcPr>
            <w:tcW w:w="674" w:type="pct"/>
          </w:tcPr>
          <w:p w:rsidR="00582143" w:rsidRPr="00A66D33" w:rsidRDefault="00582143" w:rsidP="00582143">
            <w:pPr>
              <w:pStyle w:val="120"/>
            </w:pPr>
            <w:r w:rsidRPr="00A66D33">
              <w:rPr>
                <w:rFonts w:hint="eastAsia"/>
              </w:rPr>
              <w:t>100年5月10日監察院第4屆第35次會議</w:t>
            </w:r>
          </w:p>
        </w:tc>
        <w:tc>
          <w:tcPr>
            <w:tcW w:w="1220" w:type="pct"/>
          </w:tcPr>
          <w:p w:rsidR="00582143" w:rsidRPr="00A66D33" w:rsidRDefault="00582143" w:rsidP="00582143">
            <w:pPr>
              <w:pStyle w:val="120"/>
            </w:pPr>
            <w:r w:rsidRPr="00A66D33">
              <w:rPr>
                <w:rFonts w:hint="eastAsia"/>
              </w:rPr>
              <w:t>葛委員永光、趙委員榮耀、陳委員永祥、洪委員昭男、吳委員豐山提「憲法增修條文第4條第7項是否構成本院依憲法第97條第2項及第95條、第96條行使監察權之限制；另憲法第52條之總統刑事豁免權是否及於監察權行使之豁免」聲請司法院大法官解釋案。</w:t>
            </w:r>
          </w:p>
        </w:tc>
        <w:tc>
          <w:tcPr>
            <w:tcW w:w="608" w:type="pct"/>
          </w:tcPr>
          <w:p w:rsidR="00582143" w:rsidRPr="00A66D33" w:rsidRDefault="00582143" w:rsidP="00582143">
            <w:pPr>
              <w:pStyle w:val="120"/>
            </w:pPr>
            <w:r w:rsidRPr="00A66D33">
              <w:rPr>
                <w:rFonts w:hint="eastAsia"/>
              </w:rPr>
              <w:t>交通及採購委員會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司法院</w:t>
            </w:r>
            <w:r w:rsidRPr="00A66D33">
              <w:t>尚未解釋</w:t>
            </w:r>
            <w:r w:rsidRPr="00A66D33">
              <w:rPr>
                <w:rFonts w:hint="eastAsia"/>
              </w:rPr>
              <w:t>。</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53</w:t>
            </w:r>
          </w:p>
        </w:tc>
        <w:tc>
          <w:tcPr>
            <w:tcW w:w="674" w:type="pct"/>
          </w:tcPr>
          <w:p w:rsidR="00582143" w:rsidRPr="00A66D33" w:rsidRDefault="00582143" w:rsidP="00582143">
            <w:pPr>
              <w:pStyle w:val="120"/>
            </w:pPr>
            <w:r w:rsidRPr="00A66D33">
              <w:rPr>
                <w:rFonts w:hint="eastAsia"/>
              </w:rPr>
              <w:t>103</w:t>
            </w:r>
            <w:r w:rsidRPr="00A66D33">
              <w:t>年</w:t>
            </w:r>
            <w:r w:rsidRPr="00A66D33">
              <w:rPr>
                <w:rFonts w:hint="eastAsia"/>
              </w:rPr>
              <w:t>7</w:t>
            </w:r>
            <w:r w:rsidRPr="00A66D33">
              <w:t>月</w:t>
            </w:r>
            <w:r w:rsidRPr="00A66D33">
              <w:rPr>
                <w:rFonts w:hint="eastAsia"/>
              </w:rPr>
              <w:t>8</w:t>
            </w:r>
            <w:r w:rsidRPr="00A66D33">
              <w:t>日</w:t>
            </w:r>
            <w:r w:rsidRPr="00A66D33">
              <w:rPr>
                <w:rFonts w:hint="eastAsia"/>
              </w:rPr>
              <w:t>監察院</w:t>
            </w:r>
            <w:r w:rsidRPr="00A66D33">
              <w:t>第</w:t>
            </w:r>
            <w:r w:rsidRPr="00A66D33">
              <w:rPr>
                <w:rFonts w:hint="eastAsia"/>
              </w:rPr>
              <w:t>4</w:t>
            </w:r>
            <w:r w:rsidRPr="00A66D33">
              <w:t>屆第</w:t>
            </w:r>
            <w:r w:rsidRPr="00A66D33">
              <w:rPr>
                <w:rFonts w:hint="eastAsia"/>
              </w:rPr>
              <w:t>73</w:t>
            </w:r>
            <w:r w:rsidRPr="00A66D33">
              <w:t>次會議</w:t>
            </w:r>
          </w:p>
        </w:tc>
        <w:tc>
          <w:tcPr>
            <w:tcW w:w="1220" w:type="pct"/>
          </w:tcPr>
          <w:p w:rsidR="00582143" w:rsidRPr="00A66D33" w:rsidRDefault="00582143" w:rsidP="00582143">
            <w:pPr>
              <w:pStyle w:val="120"/>
            </w:pPr>
            <w:r w:rsidRPr="00A66D33">
              <w:rPr>
                <w:rFonts w:hint="eastAsia"/>
              </w:rPr>
              <w:t>馬委員以工、林委員鉅鋃、李委員復甸提「有關大眾捷運法第六條、第七條之適用，本院與行政院所持見解歧異」聲請司法院大法官統一解釋</w:t>
            </w:r>
            <w:r w:rsidRPr="00A66D33">
              <w:t>。</w:t>
            </w:r>
          </w:p>
        </w:tc>
        <w:tc>
          <w:tcPr>
            <w:tcW w:w="608" w:type="pct"/>
          </w:tcPr>
          <w:p w:rsidR="00582143" w:rsidRPr="00A66D33" w:rsidRDefault="00582143" w:rsidP="00582143">
            <w:pPr>
              <w:pStyle w:val="120"/>
            </w:pPr>
            <w:r w:rsidRPr="00A66D33">
              <w:rPr>
                <w:rFonts w:hint="eastAsia"/>
              </w:rPr>
              <w:t>內政及少數民族委員會</w:t>
            </w:r>
          </w:p>
        </w:tc>
        <w:tc>
          <w:tcPr>
            <w:tcW w:w="1005" w:type="pct"/>
          </w:tcPr>
          <w:p w:rsidR="00582143" w:rsidRPr="00A66D33" w:rsidRDefault="00582143" w:rsidP="00582143">
            <w:pPr>
              <w:pStyle w:val="120"/>
            </w:pPr>
            <w:r w:rsidRPr="00A66D33">
              <w:rPr>
                <w:rFonts w:hint="eastAsia"/>
              </w:rPr>
              <w:t>◎解釋字號：</w:t>
            </w:r>
          </w:p>
          <w:p w:rsidR="00582143" w:rsidRPr="00A66D33" w:rsidRDefault="00582143" w:rsidP="00582143">
            <w:pPr>
              <w:pStyle w:val="120"/>
            </w:pPr>
            <w:r w:rsidRPr="00A66D33">
              <w:rPr>
                <w:rFonts w:hint="eastAsia"/>
              </w:rPr>
              <w:t>釋字第</w:t>
            </w:r>
            <w:r w:rsidRPr="00A66D33">
              <w:t>743</w:t>
            </w:r>
            <w:r w:rsidRPr="00A66D33">
              <w:rPr>
                <w:rFonts w:hint="eastAsia"/>
              </w:rPr>
              <w:t xml:space="preserve">號 </w:t>
            </w:r>
          </w:p>
          <w:p w:rsidR="00582143" w:rsidRPr="00A66D33" w:rsidRDefault="00582143" w:rsidP="00582143">
            <w:pPr>
              <w:pStyle w:val="120"/>
            </w:pPr>
            <w:r w:rsidRPr="00A66D33">
              <w:rPr>
                <w:rFonts w:hint="eastAsia"/>
              </w:rPr>
              <w:t xml:space="preserve">◎解釋公布日期： </w:t>
            </w:r>
            <w:r w:rsidRPr="00A66D33">
              <w:t>105</w:t>
            </w:r>
            <w:r w:rsidRPr="00A66D33">
              <w:rPr>
                <w:rFonts w:hint="eastAsia"/>
              </w:rPr>
              <w:t>年12月</w:t>
            </w:r>
            <w:r w:rsidRPr="00A66D33">
              <w:t>30</w:t>
            </w:r>
            <w:r w:rsidRPr="00A66D33">
              <w:rPr>
                <w:rFonts w:hint="eastAsia"/>
              </w:rPr>
              <w:t>日</w:t>
            </w:r>
          </w:p>
        </w:tc>
        <w:tc>
          <w:tcPr>
            <w:tcW w:w="1219" w:type="pct"/>
          </w:tcPr>
          <w:p w:rsidR="00582143" w:rsidRPr="00A66D33" w:rsidRDefault="00582143" w:rsidP="00582143">
            <w:pPr>
              <w:pStyle w:val="120"/>
            </w:pP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54</w:t>
            </w:r>
          </w:p>
        </w:tc>
        <w:tc>
          <w:tcPr>
            <w:tcW w:w="674" w:type="pct"/>
          </w:tcPr>
          <w:p w:rsidR="00582143" w:rsidRPr="00A66D33" w:rsidRDefault="00582143" w:rsidP="00582143">
            <w:pPr>
              <w:pStyle w:val="120"/>
            </w:pPr>
            <w:r w:rsidRPr="00A66D33">
              <w:rPr>
                <w:rFonts w:hint="eastAsia"/>
              </w:rPr>
              <w:t>103</w:t>
            </w:r>
            <w:r w:rsidRPr="00A66D33">
              <w:t>年</w:t>
            </w:r>
            <w:r w:rsidRPr="00A66D33">
              <w:rPr>
                <w:rFonts w:hint="eastAsia"/>
              </w:rPr>
              <w:t>7</w:t>
            </w:r>
            <w:r w:rsidRPr="00A66D33">
              <w:t>月</w:t>
            </w:r>
            <w:r w:rsidRPr="00A66D33">
              <w:rPr>
                <w:rFonts w:hint="eastAsia"/>
              </w:rPr>
              <w:t>8</w:t>
            </w:r>
            <w:r w:rsidRPr="00A66D33">
              <w:t>日</w:t>
            </w:r>
            <w:r w:rsidRPr="00A66D33">
              <w:rPr>
                <w:rFonts w:hint="eastAsia"/>
              </w:rPr>
              <w:t>監察院</w:t>
            </w:r>
            <w:r w:rsidRPr="00A66D33">
              <w:t>第</w:t>
            </w:r>
            <w:r w:rsidRPr="00A66D33">
              <w:rPr>
                <w:rFonts w:hint="eastAsia"/>
              </w:rPr>
              <w:t>4</w:t>
            </w:r>
            <w:r w:rsidRPr="00A66D33">
              <w:t>屆第</w:t>
            </w:r>
            <w:r w:rsidRPr="00A66D33">
              <w:rPr>
                <w:rFonts w:hint="eastAsia"/>
              </w:rPr>
              <w:t>73</w:t>
            </w:r>
            <w:r w:rsidRPr="00A66D33">
              <w:t>次會議</w:t>
            </w:r>
          </w:p>
        </w:tc>
        <w:tc>
          <w:tcPr>
            <w:tcW w:w="1220" w:type="pct"/>
          </w:tcPr>
          <w:p w:rsidR="00582143" w:rsidRPr="00A66D33" w:rsidRDefault="00582143" w:rsidP="00582143">
            <w:pPr>
              <w:pStyle w:val="120"/>
            </w:pPr>
            <w:r w:rsidRPr="00A66D33">
              <w:rPr>
                <w:rFonts w:hint="eastAsia"/>
              </w:rPr>
              <w:t>葉委員耀鵬、李委員復甸提「</w:t>
            </w:r>
            <w:r w:rsidRPr="00A66D33">
              <w:rPr>
                <w:rFonts w:hint="eastAsia"/>
                <w:lang w:val="zh-TW"/>
              </w:rPr>
              <w:t>行政院、</w:t>
            </w:r>
            <w:r w:rsidRPr="00A66D33">
              <w:rPr>
                <w:rFonts w:hint="eastAsia"/>
              </w:rPr>
              <w:t>國防部及法務部對於適用陸海空軍刑法第二十四條第一項投敵罪，所持見解與本院職權上適用法律所持見解有異」聲請司法院大法官統一解釋</w:t>
            </w:r>
            <w:r w:rsidRPr="00A66D33">
              <w:t>。</w:t>
            </w:r>
          </w:p>
        </w:tc>
        <w:tc>
          <w:tcPr>
            <w:tcW w:w="608" w:type="pct"/>
          </w:tcPr>
          <w:p w:rsidR="00582143" w:rsidRPr="00A66D33" w:rsidRDefault="00582143" w:rsidP="00582143">
            <w:pPr>
              <w:pStyle w:val="120"/>
            </w:pPr>
            <w:r w:rsidRPr="00A66D33">
              <w:rPr>
                <w:rFonts w:hint="eastAsia"/>
              </w:rPr>
              <w:t>司法及獄政委員會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103年10月24日大法官第1423次會議議決不受理。</w:t>
            </w:r>
          </w:p>
        </w:tc>
      </w:tr>
      <w:tr w:rsidR="00A66D33" w:rsidRPr="00A66D33" w:rsidTr="00582143">
        <w:trPr>
          <w:jc w:val="center"/>
        </w:trPr>
        <w:tc>
          <w:tcPr>
            <w:tcW w:w="274" w:type="pct"/>
          </w:tcPr>
          <w:p w:rsidR="00582143" w:rsidRPr="00A66D33" w:rsidRDefault="00582143" w:rsidP="00582143">
            <w:pPr>
              <w:pStyle w:val="120"/>
            </w:pPr>
            <w:r w:rsidRPr="00A66D33">
              <w:rPr>
                <w:rFonts w:hint="eastAsia"/>
              </w:rPr>
              <w:t>55</w:t>
            </w:r>
          </w:p>
        </w:tc>
        <w:tc>
          <w:tcPr>
            <w:tcW w:w="674" w:type="pct"/>
          </w:tcPr>
          <w:p w:rsidR="00582143" w:rsidRPr="00A66D33" w:rsidRDefault="00582143" w:rsidP="00582143">
            <w:pPr>
              <w:pStyle w:val="120"/>
            </w:pPr>
            <w:r w:rsidRPr="00A66D33">
              <w:rPr>
                <w:rFonts w:hint="eastAsia"/>
              </w:rPr>
              <w:t>106</w:t>
            </w:r>
            <w:r w:rsidRPr="00A66D33">
              <w:t>年</w:t>
            </w:r>
            <w:r w:rsidRPr="00A66D33">
              <w:rPr>
                <w:rFonts w:hint="eastAsia"/>
              </w:rPr>
              <w:t>3</w:t>
            </w:r>
            <w:r w:rsidRPr="00A66D33">
              <w:t>月</w:t>
            </w:r>
            <w:r w:rsidRPr="00A66D33">
              <w:rPr>
                <w:rFonts w:hint="eastAsia"/>
              </w:rPr>
              <w:t>14</w:t>
            </w:r>
            <w:r w:rsidRPr="00A66D33">
              <w:t>日</w:t>
            </w:r>
            <w:r w:rsidRPr="00A66D33">
              <w:rPr>
                <w:rFonts w:hint="eastAsia"/>
              </w:rPr>
              <w:t>監察院</w:t>
            </w:r>
            <w:r w:rsidRPr="00A66D33">
              <w:t>第</w:t>
            </w:r>
            <w:r w:rsidRPr="00A66D33">
              <w:rPr>
                <w:rFonts w:hint="eastAsia"/>
              </w:rPr>
              <w:t>5</w:t>
            </w:r>
            <w:r w:rsidRPr="00A66D33">
              <w:t>屆第</w:t>
            </w:r>
            <w:r w:rsidRPr="00A66D33">
              <w:rPr>
                <w:rFonts w:hint="eastAsia"/>
              </w:rPr>
              <w:t>34</w:t>
            </w:r>
            <w:r w:rsidRPr="00A66D33">
              <w:t>次會議</w:t>
            </w:r>
          </w:p>
        </w:tc>
        <w:tc>
          <w:tcPr>
            <w:tcW w:w="1220" w:type="pct"/>
          </w:tcPr>
          <w:p w:rsidR="00582143" w:rsidRPr="00A66D33" w:rsidRDefault="00582143" w:rsidP="00582143">
            <w:pPr>
              <w:pStyle w:val="120"/>
            </w:pPr>
            <w:r w:rsidRPr="00A66D33">
              <w:rPr>
                <w:rFonts w:hint="eastAsia"/>
              </w:rPr>
              <w:t>仉委員桂美、劉委員德勳提：本院因行使調查權適用政黨及其附隨組織不當取得財產處理條例發生有牴觸憲法第1條、第15條、第16條、第23條、第171條第1項及憲法增修條文第3條第3、4項規定之情形，並與憲法所揭櫫之法治國原則下之法安定性原則、法律保</w:t>
            </w:r>
            <w:r w:rsidRPr="00A66D33">
              <w:rPr>
                <w:rFonts w:hint="eastAsia"/>
              </w:rPr>
              <w:lastRenderedPageBreak/>
              <w:t>留原則、法律明確性原則、比例原則及正當法律程序、權力分立與制衡原則有所扞格等疑義，爰依司法院大法官審理案件法第5條第1項第1款規定聲請解釋乙案。</w:t>
            </w:r>
          </w:p>
        </w:tc>
        <w:tc>
          <w:tcPr>
            <w:tcW w:w="608" w:type="pct"/>
          </w:tcPr>
          <w:p w:rsidR="00582143" w:rsidRPr="00A66D33" w:rsidRDefault="00582143" w:rsidP="00582143">
            <w:pPr>
              <w:pStyle w:val="120"/>
            </w:pPr>
            <w:r w:rsidRPr="00A66D33">
              <w:rPr>
                <w:rFonts w:hint="eastAsia"/>
              </w:rPr>
              <w:lastRenderedPageBreak/>
              <w:t>內政及少數民族委員會</w:t>
            </w:r>
          </w:p>
          <w:p w:rsidR="00582143" w:rsidRPr="00A66D33" w:rsidRDefault="00582143" w:rsidP="00582143">
            <w:pPr>
              <w:pStyle w:val="120"/>
            </w:pPr>
            <w:r w:rsidRPr="00A66D33">
              <w:rPr>
                <w:rFonts w:hint="eastAsia"/>
              </w:rPr>
              <w:t>司法及獄政委員會</w:t>
            </w:r>
          </w:p>
        </w:tc>
        <w:tc>
          <w:tcPr>
            <w:tcW w:w="1005" w:type="pct"/>
          </w:tcPr>
          <w:p w:rsidR="00582143" w:rsidRPr="00A66D33" w:rsidRDefault="00582143" w:rsidP="00582143">
            <w:pPr>
              <w:pStyle w:val="120"/>
            </w:pPr>
          </w:p>
        </w:tc>
        <w:tc>
          <w:tcPr>
            <w:tcW w:w="1219" w:type="pct"/>
          </w:tcPr>
          <w:p w:rsidR="00582143" w:rsidRPr="00A66D33" w:rsidRDefault="00582143" w:rsidP="00582143">
            <w:pPr>
              <w:pStyle w:val="120"/>
            </w:pPr>
            <w:r w:rsidRPr="00A66D33">
              <w:rPr>
                <w:rFonts w:hint="eastAsia"/>
              </w:rPr>
              <w:t>司法院</w:t>
            </w:r>
            <w:r w:rsidRPr="00A66D33">
              <w:t>尚未解釋</w:t>
            </w:r>
            <w:r w:rsidRPr="00A66D33">
              <w:rPr>
                <w:rFonts w:hint="eastAsia"/>
              </w:rPr>
              <w:t>。</w:t>
            </w:r>
          </w:p>
        </w:tc>
      </w:tr>
    </w:tbl>
    <w:p w:rsidR="00305435" w:rsidRPr="00A66D33" w:rsidRDefault="00305435" w:rsidP="00582143">
      <w:pPr>
        <w:pStyle w:val="120"/>
      </w:pPr>
    </w:p>
    <w:sectPr w:rsidR="00305435" w:rsidRPr="00A66D33" w:rsidSect="0058214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A80" w:rsidRDefault="00390A80">
      <w:r>
        <w:separator/>
      </w:r>
    </w:p>
  </w:endnote>
  <w:endnote w:type="continuationSeparator" w:id="0">
    <w:p w:rsidR="00390A80" w:rsidRDefault="0039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186162"/>
      <w:docPartObj>
        <w:docPartGallery w:val="Page Numbers (Bottom of Page)"/>
        <w:docPartUnique/>
      </w:docPartObj>
    </w:sdtPr>
    <w:sdtEndPr/>
    <w:sdtContent>
      <w:p w:rsidR="00684EAD" w:rsidRDefault="00684EAD">
        <w:pPr>
          <w:pStyle w:val="af3"/>
          <w:jc w:val="center"/>
        </w:pPr>
        <w:r>
          <w:fldChar w:fldCharType="begin"/>
        </w:r>
        <w:r>
          <w:instrText>PAGE   \* MERGEFORMAT</w:instrText>
        </w:r>
        <w:r>
          <w:fldChar w:fldCharType="separate"/>
        </w:r>
        <w:r w:rsidR="005877A5" w:rsidRPr="005877A5">
          <w:rPr>
            <w:noProof/>
            <w:lang w:val="zh-TW"/>
          </w:rPr>
          <w:t>1</w:t>
        </w:r>
        <w:r>
          <w:fldChar w:fldCharType="end"/>
        </w:r>
      </w:p>
    </w:sdtContent>
  </w:sdt>
  <w:p w:rsidR="00684EAD" w:rsidRPr="006E1927" w:rsidRDefault="00684EAD" w:rsidP="006E192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EAD" w:rsidRDefault="00684EA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77A5">
      <w:rPr>
        <w:rStyle w:val="ac"/>
        <w:noProof/>
        <w:sz w:val="24"/>
      </w:rPr>
      <w:t>61</w:t>
    </w:r>
    <w:r>
      <w:rPr>
        <w:rStyle w:val="ac"/>
        <w:sz w:val="24"/>
      </w:rPr>
      <w:fldChar w:fldCharType="end"/>
    </w:r>
  </w:p>
  <w:p w:rsidR="00684EAD" w:rsidRDefault="00684EA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A80" w:rsidRDefault="00390A80">
      <w:r>
        <w:separator/>
      </w:r>
    </w:p>
  </w:footnote>
  <w:footnote w:type="continuationSeparator" w:id="0">
    <w:p w:rsidR="00390A80" w:rsidRDefault="00390A80">
      <w:r>
        <w:continuationSeparator/>
      </w:r>
    </w:p>
  </w:footnote>
  <w:footnote w:id="1">
    <w:p w:rsidR="00684EAD" w:rsidRPr="00AB4D4D" w:rsidRDefault="00684EAD" w:rsidP="004954FD">
      <w:pPr>
        <w:pStyle w:val="afd"/>
        <w:ind w:left="198" w:hangingChars="90" w:hanging="198"/>
        <w:jc w:val="both"/>
      </w:pPr>
      <w:r w:rsidRPr="00AB4D4D">
        <w:rPr>
          <w:rStyle w:val="aff"/>
        </w:rPr>
        <w:footnoteRef/>
      </w:r>
      <w:r w:rsidRPr="00AB4D4D">
        <w:t xml:space="preserve"> </w:t>
      </w:r>
      <w:r w:rsidRPr="00AB4D4D">
        <w:rPr>
          <w:rFonts w:hint="eastAsia"/>
        </w:rPr>
        <w:t>學者許宗力就司法院大法官舉行說明會提出疑問稱</w:t>
      </w:r>
      <w:r w:rsidRPr="00AB4D4D">
        <w:rPr>
          <w:rFonts w:hAnsi="標楷體" w:hint="eastAsia"/>
        </w:rPr>
        <w:t>：「說明會依本文觀察是一種簡化的言詞辯論，因倘若操作得當，比方行交叉陳述，實質上即與言詞辯論無異，比較不同地方主要似只在於</w:t>
      </w:r>
      <w:r w:rsidRPr="00AB4D4D">
        <w:rPr>
          <w:rFonts w:hAnsi="標楷體" w:hint="eastAsia"/>
          <w:b/>
        </w:rPr>
        <w:t>有無對外公開、是否須定期作成裁判(解釋)，以及判決書(解釋書)格式有別這幾點上</w:t>
      </w:r>
      <w:r w:rsidRPr="00AB4D4D">
        <w:rPr>
          <w:rFonts w:hAnsi="標楷體" w:hint="eastAsia"/>
        </w:rPr>
        <w:t>。由於說明會對大法官而言，可因有言詞辯論之實，而從中獲得比如協助釐清爭點等言詞辯論的「好處」，</w:t>
      </w:r>
      <w:r w:rsidRPr="00AB4D4D">
        <w:rPr>
          <w:rFonts w:hAnsi="標楷體" w:hint="eastAsia"/>
          <w:b/>
        </w:rPr>
        <w:t>他方面又沒有須對外公開與定期作成解釋等言詞辯論的「壞處」，所以實務上倘大法官較偏好於舉行說明會，而非言詞辯論，也就不足為奇了。</w:t>
      </w:r>
      <w:r w:rsidRPr="00AB4D4D">
        <w:rPr>
          <w:rFonts w:hAnsi="標楷體" w:hint="eastAsia"/>
        </w:rPr>
        <w:t>但既然對外公開與定期作成解釋也是具有正當性的訴求，</w:t>
      </w:r>
      <w:r w:rsidRPr="00AB4D4D">
        <w:rPr>
          <w:rFonts w:hAnsi="標楷體" w:hint="eastAsia"/>
          <w:b/>
        </w:rPr>
        <w:t>則大法官倘真基於前述「取巧」的考慮，而逕以說明會瓜代言詞辯論，終免不了令人質疑起說明會的正當性，而興起何不乾脆舉行言詞辯論的疑問</w:t>
      </w:r>
      <w:r w:rsidRPr="00AB4D4D">
        <w:rPr>
          <w:rFonts w:hAnsi="標楷體" w:hint="eastAsia"/>
        </w:rPr>
        <w:t>。再說無論是現行法也好，修正草案也好，都看不到「說明會」一詞，而只有提到得依聲請或依職權通知聲請人、關係人及有關機關「說明」(現行法第13條第1項中段、草案第17條第1項)，更是令人增加說明會在適法性上之疑慮。法條所提「說明」一詞，本文以為可以只是提書面資料說明，也可以是到場親自說明，而後者又幾乎可說與說明會等義，所以說明會的適法性基本上應是不容置疑的，何況請學者到場說明其法律上意見，與一般訴訟之專家鑑定類似，而通知聲請人與有關機關到場說明，也有讓當事人「辯明」之功能，所以大法官舉行說明會無論如何都是正當的，值得我們的支持。</w:t>
      </w:r>
      <w:r w:rsidRPr="00AB4D4D">
        <w:rPr>
          <w:rFonts w:hAnsi="標楷體" w:hint="eastAsia"/>
          <w:b/>
        </w:rPr>
        <w:t>只是另方面我們也應該呼籲大法官，避免讓說明會淪為規避言詞辯論的手段，畢竟該言詞辯論就應言詞辯論，而不應只貪圖說明會不公開與沒有時間壓力的「好處」，就以說明會瓜代言詞辯論，畢竟說明會頂多只是一種簡化的言詞辯論，無論如何其程序嚴謹性尚遠無法與言詞辯論者相提並論。</w:t>
      </w:r>
      <w:r w:rsidRPr="00AB4D4D">
        <w:rPr>
          <w:rFonts w:hAnsi="標楷體" w:hint="eastAsia"/>
        </w:rPr>
        <w:t>」（見許宗力（1998）。大法官審理案件法與修正草案之檢視－以大法官釋憲權行使之程序及範圍的相關規定為中心。憲政時代，24(3)，頁149）</w:t>
      </w:r>
      <w:r w:rsidRPr="00AB4D4D">
        <w:rPr>
          <w:rFonts w:hAnsi="標楷體" w:hint="eastAsia"/>
          <w:b/>
        </w:rPr>
        <w:t>然就本件聲請釋憲案攸關監察院法令審查權之存否，涉及權力分立之界限，司法院大法官若為不受理之決定，將動搖中華民國憲政制度之監察權完整性，具有憲法原則重要性。司法院大法官歷年解釋均認應踐行程序上之正當法律程序，對於當事人應給予以充分程序保障，例如採取直接審理、言詞辯論、對審及辯護制度，並給與最後陳述之機會等，按本件會議進行流程表僅給與聲請人監察院代表5分鐘說明且無採用交互詰問之方式，是否符合公平法院原則並非無疑；又按本次公開說明會辦理係依據司法院大法官審理案件法第13條前段規定：「大法官解釋案件，應參考制憲、修憲及立法資料，並得依請求或逕行通知聲請人、關係人及有關機關說明，或為調查。」同法施行細則第14條規定：「依本法第</w:t>
      </w:r>
      <w:r>
        <w:rPr>
          <w:rFonts w:hAnsi="標楷體" w:hint="eastAsia"/>
          <w:b/>
        </w:rPr>
        <w:t>13</w:t>
      </w:r>
      <w:r w:rsidRPr="00AB4D4D">
        <w:rPr>
          <w:rFonts w:hAnsi="標楷體" w:hint="eastAsia"/>
          <w:b/>
        </w:rPr>
        <w:t>條第</w:t>
      </w:r>
      <w:r>
        <w:rPr>
          <w:rFonts w:hAnsi="標楷體" w:hint="eastAsia"/>
          <w:b/>
        </w:rPr>
        <w:t>1</w:t>
      </w:r>
      <w:r w:rsidRPr="00AB4D4D">
        <w:rPr>
          <w:rFonts w:hAnsi="標楷體" w:hint="eastAsia"/>
          <w:b/>
        </w:rPr>
        <w:t>項為調查時，得邀請專家學者到院說明。為前項邀請時，得檢附聲請書影本或相關資料。通知關係人或有關機關說明時，亦同。」業規避言詞辯論時之當事人程序保障，例如依據司法院大法官審理案件法第22條規定，監察院得委任律師或法學教授擔任訴訟代理人參與。再者，依據司法院新聞稿稱其舉行依據為：「司法院大法官審理案件法第13條第1項前段，並準用同法第33條第1項及憲法法庭旁聽注意事項。」第13條第1項前段僅舉行說明會，如何準用同法第33條第1項：「憲法法庭之司法年度及事務分配、法庭之開閉及秩序、法庭之用語、裁判之評議，除本法另有規定外，準用法院組織法之規定。」之規定，非無疑問；況且再準用法院組織法第七章後，則涉及刑罰或行政罰之規定，若加以處罰，將嚴重違反罪刑法定原則。</w:t>
      </w:r>
      <w:r w:rsidRPr="00AB4D4D">
        <w:rPr>
          <w:rFonts w:hAnsi="標楷體" w:hint="eastAsia"/>
          <w:b/>
          <w:u w:val="single"/>
        </w:rPr>
        <w:t>從而，司法院大法官舉行公開說明會之程序嚴謹度，非無疑問。</w:t>
      </w:r>
    </w:p>
  </w:footnote>
  <w:footnote w:id="2">
    <w:p w:rsidR="00684EAD" w:rsidRPr="00AB4D4D" w:rsidRDefault="00684EAD">
      <w:pPr>
        <w:pStyle w:val="afd"/>
      </w:pPr>
      <w:r w:rsidRPr="00AB4D4D">
        <w:rPr>
          <w:rStyle w:val="aff"/>
        </w:rPr>
        <w:footnoteRef/>
      </w:r>
      <w:r w:rsidRPr="00AB4D4D">
        <w:t xml:space="preserve"> </w:t>
      </w:r>
      <w:r w:rsidRPr="00AB4D4D">
        <w:rPr>
          <w:rFonts w:hint="eastAsia"/>
        </w:rPr>
        <w:t>翁岳生</w:t>
      </w:r>
      <w:r w:rsidRPr="00AB4D4D">
        <w:rPr>
          <w:rFonts w:hAnsi="標楷體" w:hint="eastAsia"/>
        </w:rPr>
        <w:t>，</w:t>
      </w:r>
      <w:r w:rsidRPr="00AB4D4D">
        <w:rPr>
          <w:rFonts w:hint="eastAsia"/>
        </w:rPr>
        <w:t>法治國家之行政法與司法</w:t>
      </w:r>
      <w:r w:rsidRPr="00AB4D4D">
        <w:rPr>
          <w:rFonts w:hAnsi="標楷體" w:hint="eastAsia"/>
        </w:rPr>
        <w:t>，</w:t>
      </w:r>
      <w:r w:rsidRPr="00AB4D4D">
        <w:rPr>
          <w:rFonts w:hint="eastAsia"/>
        </w:rPr>
        <w:t>月旦（1994）</w:t>
      </w:r>
      <w:r w:rsidRPr="00AB4D4D">
        <w:rPr>
          <w:rFonts w:hAnsi="標楷體" w:hint="eastAsia"/>
        </w:rPr>
        <w:t>，頁</w:t>
      </w:r>
      <w:r w:rsidRPr="00AB4D4D">
        <w:rPr>
          <w:rFonts w:hAnsi="標楷體"/>
        </w:rPr>
        <w:t>354</w:t>
      </w:r>
      <w:r w:rsidRPr="00AB4D4D">
        <w:rPr>
          <w:rFonts w:hint="eastAsia"/>
        </w:rPr>
        <w:t>。</w:t>
      </w:r>
    </w:p>
  </w:footnote>
  <w:footnote w:id="3">
    <w:p w:rsidR="00684EAD" w:rsidRPr="00AB4D4D" w:rsidRDefault="00684EAD">
      <w:pPr>
        <w:pStyle w:val="afd"/>
      </w:pPr>
      <w:r w:rsidRPr="00AB4D4D">
        <w:rPr>
          <w:rStyle w:val="aff"/>
        </w:rPr>
        <w:footnoteRef/>
      </w:r>
      <w:r w:rsidRPr="00AB4D4D">
        <w:rPr>
          <w:rFonts w:hint="eastAsia"/>
        </w:rPr>
        <w:t xml:space="preserve"> 翁岳生，法治國家之行政法與司法，月旦（1994），頁357。</w:t>
      </w:r>
    </w:p>
  </w:footnote>
  <w:footnote w:id="4">
    <w:p w:rsidR="00684EAD" w:rsidRPr="00AB4D4D" w:rsidRDefault="00684EAD" w:rsidP="004954FD">
      <w:pPr>
        <w:pStyle w:val="afd"/>
        <w:ind w:left="198" w:hangingChars="90" w:hanging="198"/>
        <w:jc w:val="both"/>
      </w:pPr>
      <w:r w:rsidRPr="00AB4D4D">
        <w:rPr>
          <w:rStyle w:val="aff"/>
        </w:rPr>
        <w:footnoteRef/>
      </w:r>
      <w:r w:rsidRPr="00AB4D4D">
        <w:t xml:space="preserve"> </w:t>
      </w:r>
      <w:r w:rsidRPr="00AB4D4D">
        <w:rPr>
          <w:rFonts w:hint="eastAsia"/>
        </w:rPr>
        <w:t>學者黃昭元引介</w:t>
      </w:r>
      <w:r w:rsidRPr="00AB4D4D">
        <w:t>Cass Sunstein</w:t>
      </w:r>
      <w:r w:rsidRPr="00AB4D4D">
        <w:rPr>
          <w:rFonts w:hint="eastAsia"/>
        </w:rPr>
        <w:t>司法最小主義</w:t>
      </w:r>
      <w:r w:rsidRPr="00AB4D4D">
        <w:t>—</w:t>
      </w:r>
      <w:r w:rsidRPr="00AB4D4D">
        <w:rPr>
          <w:rFonts w:hint="eastAsia"/>
        </w:rPr>
        <w:t>裁判的對象或範圍要寧窄勿寬</w:t>
      </w:r>
      <w:r w:rsidRPr="00AB4D4D">
        <w:rPr>
          <w:rFonts w:hAnsi="標楷體" w:hint="eastAsia"/>
        </w:rPr>
        <w:t>，</w:t>
      </w:r>
      <w:r w:rsidRPr="00AB4D4D">
        <w:rPr>
          <w:rFonts w:hint="eastAsia"/>
        </w:rPr>
        <w:t>判決理由之深淺要寧淺勿深</w:t>
      </w:r>
      <w:r w:rsidRPr="00AB4D4D">
        <w:rPr>
          <w:rFonts w:hAnsi="標楷體" w:hint="eastAsia"/>
        </w:rPr>
        <w:t>，而其主張裁判應「窄而深」儘量限縮個案，在個案的基礎上深入說理與討論，提高司法判決之可預測性，並</w:t>
      </w:r>
      <w:r w:rsidRPr="00AB4D4D">
        <w:rPr>
          <w:rFonts w:hint="eastAsia"/>
        </w:rPr>
        <w:t>避免過度干預政治部門之決定</w:t>
      </w:r>
      <w:r w:rsidRPr="00AB4D4D">
        <w:rPr>
          <w:rFonts w:hAnsi="標楷體" w:hint="eastAsia"/>
        </w:rPr>
        <w:t>。（詳見，司法消極美德的積極實踐</w:t>
      </w:r>
      <w:r w:rsidRPr="00AB4D4D">
        <w:rPr>
          <w:rFonts w:hAnsi="標楷體" w:hint="cs"/>
        </w:rPr>
        <w:t>―</w:t>
      </w:r>
      <w:r w:rsidRPr="00AB4D4D">
        <w:rPr>
          <w:rFonts w:hAnsi="標楷體" w:hint="eastAsia"/>
        </w:rPr>
        <w:t>評</w:t>
      </w:r>
      <w:r w:rsidRPr="00AB4D4D">
        <w:rPr>
          <w:rFonts w:hAnsi="標楷體"/>
        </w:rPr>
        <w:t>Sunstein</w:t>
      </w:r>
      <w:r w:rsidRPr="00AB4D4D">
        <w:rPr>
          <w:rFonts w:hAnsi="標楷體" w:hint="eastAsia"/>
        </w:rPr>
        <w:t>教授的「司法最小主義」理論，《當代公法新論</w:t>
      </w:r>
      <w:r w:rsidRPr="00AB4D4D">
        <w:rPr>
          <w:rFonts w:hAnsi="標楷體" w:hint="cs"/>
        </w:rPr>
        <w:t>――</w:t>
      </w:r>
      <w:r w:rsidRPr="00AB4D4D">
        <w:rPr>
          <w:rFonts w:hAnsi="標楷體" w:hint="eastAsia"/>
        </w:rPr>
        <w:t>翁岳生教授七秩誕辰祝壽論文集（上）》，頁</w:t>
      </w:r>
      <w:r w:rsidRPr="00AB4D4D">
        <w:rPr>
          <w:rFonts w:hAnsi="標楷體"/>
        </w:rPr>
        <w:t>875-917</w:t>
      </w:r>
      <w:r w:rsidRPr="00AB4D4D">
        <w:rPr>
          <w:rFonts w:hAnsi="標楷體" w:hint="eastAsia"/>
        </w:rPr>
        <w:t>。台北：元照出版公司）學者蘇彥圖則提出結構最小主義的建議，分析司法院大法官解釋分別扮演</w:t>
      </w:r>
      <w:r w:rsidRPr="00AB4D4D">
        <w:rPr>
          <w:rFonts w:hAnsi="標楷體"/>
        </w:rPr>
        <w:t>Cass Sunstein</w:t>
      </w:r>
      <w:r w:rsidRPr="00AB4D4D">
        <w:rPr>
          <w:rFonts w:hAnsi="標楷體" w:hint="eastAsia"/>
        </w:rPr>
        <w:t>所提出的四種憲政人格典型</w:t>
      </w:r>
      <w:r w:rsidRPr="00AB4D4D">
        <w:rPr>
          <w:rFonts w:hAnsi="標楷體" w:hint="cs"/>
        </w:rPr>
        <w:t>――</w:t>
      </w:r>
      <w:r w:rsidRPr="00AB4D4D">
        <w:rPr>
          <w:rFonts w:hAnsi="標楷體" w:hint="eastAsia"/>
        </w:rPr>
        <w:t>英雄（</w:t>
      </w:r>
      <w:r w:rsidRPr="00AB4D4D">
        <w:rPr>
          <w:rFonts w:hAnsi="標楷體"/>
        </w:rPr>
        <w:t>Heroes</w:t>
      </w:r>
      <w:r w:rsidRPr="00AB4D4D">
        <w:rPr>
          <w:rFonts w:hAnsi="標楷體" w:hint="eastAsia"/>
        </w:rPr>
        <w:t>）、士兵（</w:t>
      </w:r>
      <w:r w:rsidRPr="00AB4D4D">
        <w:rPr>
          <w:rFonts w:hAnsi="標楷體"/>
        </w:rPr>
        <w:t>Soldiers</w:t>
      </w:r>
      <w:r w:rsidRPr="00AB4D4D">
        <w:rPr>
          <w:rFonts w:hAnsi="標楷體" w:hint="eastAsia"/>
        </w:rPr>
        <w:t>）、默者（</w:t>
      </w:r>
      <w:r w:rsidRPr="00AB4D4D">
        <w:rPr>
          <w:rFonts w:hAnsi="標楷體"/>
        </w:rPr>
        <w:t>Mutes</w:t>
      </w:r>
      <w:r w:rsidRPr="00AB4D4D">
        <w:rPr>
          <w:rFonts w:hAnsi="標楷體" w:hint="eastAsia"/>
        </w:rPr>
        <w:t>）與最小主義者（</w:t>
      </w:r>
      <w:r w:rsidRPr="00AB4D4D">
        <w:rPr>
          <w:rFonts w:hAnsi="標楷體"/>
        </w:rPr>
        <w:t>Minimalists</w:t>
      </w:r>
      <w:r w:rsidRPr="00AB4D4D">
        <w:rPr>
          <w:rFonts w:hAnsi="標楷體" w:hint="eastAsia"/>
        </w:rPr>
        <w:t>）（</w:t>
      </w:r>
      <w:r w:rsidRPr="00AB4D4D">
        <w:rPr>
          <w:rFonts w:hAnsi="標楷體"/>
        </w:rPr>
        <w:t>Sunstein, 2015</w:t>
      </w:r>
      <w:r w:rsidRPr="00AB4D4D">
        <w:rPr>
          <w:rFonts w:hAnsi="標楷體" w:hint="eastAsia"/>
        </w:rPr>
        <w:t>），其認為：「憲法法官會是一個「結構最小主義者」﹕她知道自己在審理關於憲政民主制度的案件時，不論其主要任務是抽象或具體的規範控制，抑或是具體憲政爭議的裁決，她都無可避免地在扮演司法憲政工程師的角色。她會設法扮演好這個角色，也就是會 (1)誠實的面對自己在解釋與適用憲法法的過程中所做的價值預設與制度選擇，(2) 重視系統分析，(3) 設法處理系爭個案背後的結構性問題，以及(4) 顧慮到所為司法決策的憲政制度效應╱後果。在這麼做的同時，她會很清楚地意識到自己作為司法憲政工程師的侷限與困難﹔對她來說，司法自制不只是一種值得追求的美德，更是司法憲政工程師的基本角色倫理（role morality）。她從而會自我要求去做一個司法憲政工程的最小主義者，會盡可能地將憲政工程的機會與空間保留給民主程序，也會盡可能地避免對民主憲政工程做出一階的（first-order）實體價值強制。結構最小主義者並不會像Sunstein筆下的最小主義者那樣反對、排斥理論﹔他們只是反對去脈絡化而無逐案調整空間的理論套用。結構最小主義者這樣的角色設定，或許具有相當的理想性與角色詮釋上的困難度，但是並非純屬虛構。」等語，固非無見。然而美國違憲審查權具體運作兩百多年，其司法權不同於歐陸法系具有</w:t>
      </w:r>
      <w:r w:rsidRPr="00684EAD">
        <w:rPr>
          <w:rFonts w:hAnsi="標楷體" w:hint="eastAsia"/>
        </w:rPr>
        <w:t>比較強大憲法權力，例如西元2017年1月27日穆斯林禁令，美國人權組織「美國公民自由聯</w:t>
      </w:r>
      <w:r w:rsidRPr="00AB4D4D">
        <w:rPr>
          <w:rFonts w:hAnsi="標楷體" w:hint="eastAsia"/>
        </w:rPr>
        <w:t>盟」（ACLU）28日向紐約市布魯克林區聯邦法院（the US District Court in Brooklyn）控告川普的行政命令違憲，當日即暫停遣返動作。又在美國三權分立，行政特權之範圍亦不同於德法等國，司法權往往得以侵入行政權領域，如水門案時要求白宮提出錄音帶；再者，在1930年代美國經濟大蕭條時，「羅斯福新政（New Deal）」國會通過新政法案，遭聯邦最高法院宣布部分經濟法案違憲。事實上，美國聯邦最高法院從馬歇爾法院（1801-35）開始業建立起最高法院的聲望迄今，該機關並非僅是具有憲法的形式意義，在美國從自由主義與經濟學角度風花雪月談談司法最小或結構最小，或許有其意義。但在我國司法權從未被國人認為具有獨立性，所謂有錢判生，無錢判死，向為民間所流傳，司法權動輒向行政權低頭之舉，亦不絕如縷，過去行政法院向有駁回院之稱號，司法院大法官審查案件，</w:t>
      </w:r>
      <w:r w:rsidRPr="00AB4D4D">
        <w:rPr>
          <w:rFonts w:hAnsi="標楷體" w:hint="eastAsia"/>
          <w:b/>
        </w:rPr>
        <w:t>據學者許宗力的說法，「絕大多數的釋憲案件，從收案到作成決議，根本就是黑箱作業」</w:t>
      </w:r>
      <w:r w:rsidRPr="00AB4D4D">
        <w:rPr>
          <w:rFonts w:hAnsi="標楷體" w:hint="eastAsia"/>
        </w:rPr>
        <w:t>（見許宗力（1998）。大法官審理案件法與修正草案之檢視－以大法官釋憲權行使之程序及範圍的相關規定為中心。憲政時代，24(3)，頁146-147）不從個案釋憲過程之各項資料（如會議討論記錄）分析司法院大法官相互間司法政治舉措（如2018/5/4不受理決議之後，恐難再期待同修福慧。雞鳴雨晦，但求無愧。），僅描述美國憲法學者理論或單從釋憲文結論分析該釋憲案之性格為英雄、士兵、默者與最小主義者，或無異緣木求魚。從而，前揭論點似乎忽略我國司法權之發展與國民全體對於司法權之信賴程度，似難遽以贊同。</w:t>
      </w:r>
    </w:p>
  </w:footnote>
  <w:footnote w:id="5">
    <w:p w:rsidR="00684EAD" w:rsidRPr="00AB4D4D" w:rsidRDefault="00684EAD">
      <w:pPr>
        <w:pStyle w:val="afd"/>
      </w:pPr>
      <w:r w:rsidRPr="00AB4D4D">
        <w:rPr>
          <w:rStyle w:val="aff"/>
        </w:rPr>
        <w:footnoteRef/>
      </w:r>
      <w:r w:rsidRPr="00AB4D4D">
        <w:rPr>
          <w:rFonts w:hint="eastAsia"/>
        </w:rPr>
        <w:t xml:space="preserve"> 翁岳生，法治國家之行政法與司法，月旦（1994），頁358。</w:t>
      </w:r>
    </w:p>
  </w:footnote>
  <w:footnote w:id="6">
    <w:p w:rsidR="00684EAD" w:rsidRPr="00AB4D4D" w:rsidRDefault="00684EAD">
      <w:pPr>
        <w:pStyle w:val="afd"/>
      </w:pPr>
      <w:r w:rsidRPr="00AB4D4D">
        <w:rPr>
          <w:rStyle w:val="aff"/>
        </w:rPr>
        <w:footnoteRef/>
      </w:r>
      <w:r w:rsidRPr="00AB4D4D">
        <w:t xml:space="preserve"> </w:t>
      </w:r>
      <w:r w:rsidRPr="00AB4D4D">
        <w:rPr>
          <w:rFonts w:hint="eastAsia"/>
        </w:rPr>
        <w:t>參見司法院釋字第589號解釋</w:t>
      </w:r>
      <w:r w:rsidRPr="00AB4D4D">
        <w:rPr>
          <w:rFonts w:hAnsi="標楷體" w:hint="eastAsia"/>
        </w:rPr>
        <w:t>。</w:t>
      </w:r>
    </w:p>
  </w:footnote>
  <w:footnote w:id="7">
    <w:p w:rsidR="00684EAD" w:rsidRPr="00AB4D4D" w:rsidRDefault="00684EAD" w:rsidP="00C02B87">
      <w:pPr>
        <w:pStyle w:val="afd"/>
        <w:ind w:left="198" w:hangingChars="90" w:hanging="198"/>
        <w:jc w:val="both"/>
      </w:pPr>
      <w:r w:rsidRPr="00AB4D4D">
        <w:rPr>
          <w:rStyle w:val="aff"/>
        </w:rPr>
        <w:footnoteRef/>
      </w:r>
      <w:r w:rsidRPr="00AB4D4D">
        <w:t xml:space="preserve"> </w:t>
      </w:r>
      <w:r w:rsidRPr="00AB4D4D">
        <w:rPr>
          <w:rFonts w:hint="eastAsia"/>
        </w:rPr>
        <w:t>「國民參政會憲政實施協進會」，當然會員為國民參政會主席團主席：張伯苓、莫德惠、吳貽芳、李璜、王寵惠、王世杰、江庸。由國防最高委員會委員長就中國國民黨中央執行委員指定為會員者：孔祥熙、孫科、吳鐵城、陳布雷、張厲生、張羣、熊式輝、朱家驊、張道藩、梁寒操、洪蘭友、吳經熊、宋子文、吳鼎昌。就國民參政員中指定者有：褚輔成、張君邁、黃炎培、胡政之、邵從恩、王雲五、江恆源、左舜生、陳啟天、許孝炎、李中襄、周炳琳、錢端升、董必武、江一平、傅斯年、錢公來、薩孟武、達浦生、喜饒嘉錯、李永新、梁上棟、孔庚、范予遂。就其他富有政治學識經驗或對憲政有特殊研究之人士中指定者有：吳尚鷹、林彬、黃右昌、樓桐蓀、王造時、梁漱溟、周恩來、蔣夢鱗、燕樹棠、張志讓、蕭公權。參見，《國民大會實錄（總編）》，國民大會秘書處編印，35年12月。P273。</w:t>
      </w:r>
    </w:p>
  </w:footnote>
  <w:footnote w:id="8">
    <w:p w:rsidR="00684EAD" w:rsidRPr="00AB4D4D" w:rsidRDefault="00684EAD" w:rsidP="00C02B87">
      <w:pPr>
        <w:pStyle w:val="afd"/>
        <w:ind w:left="198" w:hangingChars="90" w:hanging="198"/>
        <w:jc w:val="both"/>
      </w:pPr>
      <w:r w:rsidRPr="00AB4D4D">
        <w:rPr>
          <w:rStyle w:val="aff"/>
        </w:rPr>
        <w:footnoteRef/>
      </w:r>
      <w:r w:rsidRPr="00AB4D4D">
        <w:rPr>
          <w:rFonts w:hint="eastAsia"/>
        </w:rPr>
        <w:t xml:space="preserve"> 參見《國民大會實錄（總編）》，國民大會秘書處編印，35年12月。P318。</w:t>
      </w:r>
    </w:p>
  </w:footnote>
  <w:footnote w:id="9">
    <w:p w:rsidR="00684EAD" w:rsidRPr="00AB4D4D" w:rsidRDefault="00684EAD" w:rsidP="00C02B87">
      <w:pPr>
        <w:pStyle w:val="afd"/>
        <w:ind w:left="198" w:hangingChars="90" w:hanging="198"/>
        <w:jc w:val="both"/>
      </w:pPr>
      <w:r w:rsidRPr="00AB4D4D">
        <w:rPr>
          <w:rStyle w:val="aff"/>
        </w:rPr>
        <w:footnoteRef/>
      </w:r>
      <w:r w:rsidRPr="00AB4D4D">
        <w:t xml:space="preserve"> </w:t>
      </w:r>
      <w:r w:rsidRPr="00AB4D4D">
        <w:rPr>
          <w:rFonts w:hint="eastAsia"/>
        </w:rPr>
        <w:t>德國基本法93條第1項第2款規定</w:t>
      </w:r>
      <w:r w:rsidRPr="00AB4D4D">
        <w:rPr>
          <w:rFonts w:hAnsi="標楷體" w:hint="eastAsia"/>
        </w:rPr>
        <w:t>：「</w:t>
      </w:r>
      <w:r w:rsidRPr="00AB4D4D">
        <w:rPr>
          <w:rFonts w:hint="eastAsia"/>
        </w:rPr>
        <w:t>關於聯邦法律或各邦法律與本基本法在形式上及實質上有無牴觸或各邦法律與其他聯邦法律有無牴觸、發生歧見或疑義時，經聯邦政府、邦政府或聯邦議會議員三分之一之請求受理之案件。</w:t>
      </w:r>
      <w:r w:rsidRPr="00AB4D4D">
        <w:rPr>
          <w:rFonts w:hAnsi="標楷體" w:hint="eastAsia"/>
        </w:rPr>
        <w:t>」</w:t>
      </w:r>
    </w:p>
  </w:footnote>
  <w:footnote w:id="10">
    <w:p w:rsidR="00684EAD" w:rsidRPr="00AB4D4D" w:rsidRDefault="00684EAD" w:rsidP="00C02B87">
      <w:pPr>
        <w:pStyle w:val="afd"/>
        <w:ind w:left="198" w:hangingChars="90" w:hanging="198"/>
        <w:jc w:val="both"/>
      </w:pPr>
      <w:r w:rsidRPr="00AB4D4D">
        <w:rPr>
          <w:rStyle w:val="aff"/>
        </w:rPr>
        <w:footnoteRef/>
      </w:r>
      <w:r w:rsidRPr="00AB4D4D">
        <w:t xml:space="preserve"> </w:t>
      </w:r>
      <w:r w:rsidRPr="00AB4D4D">
        <w:rPr>
          <w:rFonts w:hint="eastAsia"/>
        </w:rPr>
        <w:t>對於聯邦法或邦法在形式上或實質上是否符合基本法，或邦法是否符合其他聯邦法，發生爭議或疑義，經聯邦政府、邦政府、或聯邦眾議院四分之一議員聲請者(基本法第93條第1項第2款)。</w:t>
      </w:r>
    </w:p>
  </w:footnote>
  <w:footnote w:id="11">
    <w:p w:rsidR="00684EAD" w:rsidRPr="00AB4D4D" w:rsidRDefault="00684EAD" w:rsidP="00C02B87">
      <w:pPr>
        <w:pStyle w:val="afd"/>
        <w:ind w:left="198" w:hangingChars="90" w:hanging="198"/>
        <w:jc w:val="both"/>
      </w:pPr>
      <w:r w:rsidRPr="00AB4D4D">
        <w:rPr>
          <w:rStyle w:val="aff"/>
        </w:rPr>
        <w:footnoteRef/>
      </w:r>
      <w:r w:rsidRPr="00AB4D4D">
        <w:t xml:space="preserve"> </w:t>
      </w:r>
      <w:r w:rsidRPr="00AB4D4D">
        <w:rPr>
          <w:rFonts w:hint="eastAsia"/>
        </w:rPr>
        <w:t>函覆略以（一）黨產條例主管機關及黨產條例施行細則訂定情形：１、依黨產條例第2條第1項規定：「行政院設不當黨產處理委員會為本條例之主管機關，不受中央行政機關組織基準法規定之限制」。是黨產條例之主管機關為黨產會。２、依黨產條例第33條規定：「本條例施行細則，由行政院定之」。行政院已於105年10月25日發布「政黨及其附隨組織不當取得財產處理條例施行細則」（下稱黨產條例施行細則），黨產會係依黨產條例及黨產條例施行細則等規定依法行政。（二）黨產條例有無違反憲法對人民財產權保障之意旨：１、政黨及其附隨組織雖因法律上之登記而同樣享有人格之地位，惟不可與一般之自然人、法人等同視之。２、政黨為基於共同民主政治理念，協助形成國民意志，促進國民政治參與為目的之政治團體。依上述本質，法律賦予政黨在政治上享有較個人優勢地位之權利，如「總統副總統選舉罷免法」第22條所定得以較寬鬆之方式參與總統副總統選舉，以及「公職人員選舉罷免法」第24條第2項，政黨始具有資格參與全國不分區立法委員競選等等權利優勢。是政黨既因其政黨本質而在法律上享有較自然人優勢之權利，自當本於其政黨本質而背負高於一般人之其他義務，如政黨活動經費之限制。故政黨與自然人、一般法人於憲法基本權利上不可等同視之。３、另依司法院釋字第739號解釋：「國家為增進公共利益，固得以法律或法律明確授權之法規命令對於人民之財產權或居住自由予以限制」（司法院釋字第689號、第709號解釋參照）之論理可悉，國家本得基於公共利益考量下，以法律限制人民財產權，難謂財產權一經限制即與憲法有違。（三）黨產條例有無違反一般法律原則：１、法律保留原則：（１）黨產條例第2條規定，行政院設黨產會為黨產條例之主管機關，不受基準法規定之限制；黨產條例第3章「組織」並就黨產會設置訂有規範。是立法院係以黨產條例作為黨產會之組織法，創設黨產會毋庸受基準法規定之限制，已相當3級獨立機關方式運行，行政院尊重立法院依職權審議之結果。（２）黨產條例第19條第3項授權行政院訂定黨產會組織規程，行政院據以訂定「不當黨產處理委員會組織規程」，係機關為處理內部事務所定內部單位之分工職掌，並無違反法律保留原則。２、個案立法禁止原則：（１）黨產條例第4條第1項第1款規定：「政黨：指於76年7月15日前成立並依動員戡亂時期人民團體法規定備案者。」其立法目的係為調查及處理政黨不當取得之財產，但最終目的在建立一般性政黨公平競爭環境，健全民主政治，以落實轉型正義，屬通案性之考量。（２）解嚴以前政黨取得之財產不符合實質法治國原則者，並不限於當時之執政黨，其他政黨仍有發生之可能性，故黨產條例非屬個案立法。３、法律明確性原則（１）按司法院釋字第432號解釋意旨:「法律明確性之要求，非僅指法律文義具體詳盡之體例而言，立法者於立法定制時，仍得衡酌法律所規範生活事實之複雜性及適用於個案之妥當性，從立法上適當運用不確定法律概念或概括條款而為相應之規定。有關專門職業人員行為準則及懲戒之立法使用抽象概念者，苟其意義非難以理解，且為受規範者所得預見，並可經由司法審查加以確認，即不得謂與前揭原則相違」。（２）有關黨產條例所定相關不確定法律概念或概括條款，經黨產會迄今實際認事用法過程發現，其意義非難以理解，為受規範者所得預見，且為司法審查加以確認，難認有違法律明確性。（３）黨產條例以「設定特定日期」之方式推定不當取得財產之範圍，為立法所需更為明確，尚無違反法律明確性原則。４、黨產條例有關舉證責任轉換之合理性及適法性：（１）民主國家政黨之本質，其正當財源應限於黨費、政治獻金、競選經費之捐贈、競選費用補助金及其孳息，除此之外，政黨依其他方式所取得之財產，皆與政黨本質不符。（２）鑑於不當取得之行為距今久遠，且過去處於一黨獨大、黨國不分現象，黨產條例爰採舉證責任轉換之立法體例，規範「推定」為不當取得財產之機制，由政黨舉證其取得財產係符合政黨本質與民主法治原則，始能保有該財產。透過此種舉證責任轉換之設計，方符合實質法治國原則之要求。是黨產條例為落實轉型正義，對於以往不當黨產由於可能出於違反民主方式取得，所以舉證責任由該政黨及附隨組織為之，未違反轉型正義原則。（３）監察院90年4月6日函送行政院之調查意見指出，過去威權體制下，政黨將原屬國家財產移轉登記為該黨所有，或接受各級政府機構無償贈與土地及建築物，係黨國不分時代之現象，不符實質法治國原則之要求。如依現行規定請求政黨返還有其困難，有以特別立法方式，妥為規範處理政黨黨產之必要性。是以，制定黨產條例以貫徹實質法治國原則，亦為本院所肯認。５、黨產條例合於憲法法治國原則等，無牴觸憲法、憲法增修條文及其他法律之情形，其規定內容並無窒礙難行，自不生移請立法院覆議及聲請釋憲之問題。</w:t>
      </w:r>
    </w:p>
  </w:footnote>
  <w:footnote w:id="12">
    <w:p w:rsidR="00684EAD" w:rsidRPr="00AB4D4D" w:rsidRDefault="00684EAD">
      <w:pPr>
        <w:pStyle w:val="afd"/>
      </w:pPr>
      <w:r w:rsidRPr="00AB4D4D">
        <w:rPr>
          <w:rStyle w:val="aff"/>
        </w:rPr>
        <w:footnoteRef/>
      </w:r>
      <w:r w:rsidRPr="00AB4D4D">
        <w:t xml:space="preserve"> </w:t>
      </w:r>
      <w:r>
        <w:rPr>
          <w:rFonts w:hint="eastAsia"/>
        </w:rPr>
        <w:t>僅有一件不同意見書</w:t>
      </w:r>
      <w:r>
        <w:rPr>
          <w:rFonts w:ascii="微軟正黑體" w:eastAsia="微軟正黑體" w:hAnsi="微軟正黑體" w:hint="eastAsia"/>
        </w:rPr>
        <w:t>，</w:t>
      </w:r>
      <w:r w:rsidRPr="00AB4D4D">
        <w:rPr>
          <w:rFonts w:hint="eastAsia"/>
        </w:rPr>
        <w:t>詳見司法院釋字第151號姚瑞光大法官不同意見書</w:t>
      </w:r>
      <w:r w:rsidRPr="00AB4D4D">
        <w:rPr>
          <w:rFonts w:hAnsi="標楷體" w:hint="eastAsia"/>
        </w:rPr>
        <w:t>。</w:t>
      </w:r>
    </w:p>
  </w:footnote>
  <w:footnote w:id="13">
    <w:p w:rsidR="00684EAD" w:rsidRPr="00AB4D4D" w:rsidRDefault="00684EAD" w:rsidP="002E6FB4">
      <w:pPr>
        <w:pStyle w:val="afd"/>
        <w:ind w:left="264" w:hangingChars="120" w:hanging="264"/>
        <w:jc w:val="both"/>
      </w:pPr>
      <w:r w:rsidRPr="00AB4D4D">
        <w:rPr>
          <w:rStyle w:val="aff"/>
        </w:rPr>
        <w:footnoteRef/>
      </w:r>
      <w:r w:rsidRPr="00AB4D4D">
        <w:t xml:space="preserve"> </w:t>
      </w:r>
      <w:r w:rsidRPr="00AB4D4D">
        <w:rPr>
          <w:rFonts w:hint="eastAsia"/>
        </w:rPr>
        <w:t>司法院釋字第137號解釋</w:t>
      </w:r>
      <w:r w:rsidRPr="00AB4D4D">
        <w:rPr>
          <w:rFonts w:hAnsi="標楷體" w:hint="eastAsia"/>
        </w:rPr>
        <w:t>：「法官於審判案件時，</w:t>
      </w:r>
      <w:r w:rsidRPr="00AB4D4D">
        <w:rPr>
          <w:rFonts w:hAnsi="標楷體" w:hint="eastAsia"/>
          <w:b/>
        </w:rPr>
        <w:t>對於各機關就其職掌所作有關法規釋示之行政命令，或為認定事實之依據，或須資為裁判之基礎</w:t>
      </w:r>
      <w:r w:rsidRPr="00AB4D4D">
        <w:rPr>
          <w:rFonts w:hAnsi="標楷體" w:hint="eastAsia"/>
        </w:rPr>
        <w:t>，固未可逕行排斥而不用。惟各種有關法規釋示之行政命令，範圍廣泛，為數甚多。其中是否與法意偶有出入，或不無憲法第172條之情形，未可一概而論。法官依據法律，獨立審判，依憲法第80條之規定，為其應有之職責。在其職責範圍內，關於認事用法，如就系爭之點，有為正確闡釋之必要時，自得本於公正誠實之篤信，表示合法適當之見解。」</w:t>
      </w:r>
    </w:p>
  </w:footnote>
  <w:footnote w:id="14">
    <w:p w:rsidR="00684EAD" w:rsidRPr="00AB4D4D" w:rsidRDefault="00684EAD" w:rsidP="00C20CFF">
      <w:pPr>
        <w:pStyle w:val="afd"/>
        <w:ind w:left="264" w:hangingChars="120" w:hanging="264"/>
      </w:pPr>
      <w:r w:rsidRPr="00AB4D4D">
        <w:rPr>
          <w:rStyle w:val="aff"/>
        </w:rPr>
        <w:footnoteRef/>
      </w:r>
      <w:r w:rsidRPr="00AB4D4D">
        <w:t xml:space="preserve"> </w:t>
      </w:r>
      <w:r w:rsidRPr="00AB4D4D">
        <w:rPr>
          <w:rFonts w:hint="eastAsia"/>
        </w:rPr>
        <w:t>其理由書中稱</w:t>
      </w:r>
      <w:r w:rsidRPr="00AB4D4D">
        <w:rPr>
          <w:rFonts w:hAnsi="標楷體" w:hint="eastAsia"/>
        </w:rPr>
        <w:t>，其目的皆在保障憲法在規範層級中之最高性，並維護法官獨立行使職權，俾其於審判之際僅服從憲法及法律，不受任何干涉。我國法制以承襲歐陸國家為主，行憲以來，違憲審查制度之發展，亦與上述歐陸國家相近。</w:t>
      </w:r>
    </w:p>
  </w:footnote>
  <w:footnote w:id="15">
    <w:p w:rsidR="00684EAD" w:rsidRPr="00AB4D4D" w:rsidRDefault="00684EAD">
      <w:pPr>
        <w:pStyle w:val="afd"/>
      </w:pPr>
      <w:r w:rsidRPr="00AB4D4D">
        <w:rPr>
          <w:rStyle w:val="aff"/>
        </w:rPr>
        <w:footnoteRef/>
      </w:r>
      <w:r w:rsidRPr="00AB4D4D">
        <w:t xml:space="preserve"> </w:t>
      </w:r>
      <w:r w:rsidRPr="00AB4D4D">
        <w:rPr>
          <w:rFonts w:hint="eastAsia"/>
        </w:rPr>
        <w:t>本院歷年聲請大法官解釋不受理四件</w:t>
      </w:r>
      <w:r w:rsidRPr="00AB4D4D">
        <w:rPr>
          <w:rFonts w:hAnsi="標楷體" w:hint="eastAsia"/>
        </w:rPr>
        <w:t>，</w:t>
      </w:r>
      <w:r w:rsidRPr="00AB4D4D">
        <w:rPr>
          <w:rFonts w:hint="eastAsia"/>
        </w:rPr>
        <w:t>三件為統一解釋</w:t>
      </w:r>
      <w:r w:rsidRPr="00AB4D4D">
        <w:rPr>
          <w:rFonts w:hAnsi="標楷體" w:hint="eastAsia"/>
        </w:rPr>
        <w:t>。</w:t>
      </w:r>
    </w:p>
  </w:footnote>
  <w:footnote w:id="16">
    <w:p w:rsidR="00684EAD" w:rsidRPr="00AB4D4D" w:rsidRDefault="00684EAD" w:rsidP="001C0E9A">
      <w:pPr>
        <w:pStyle w:val="afd"/>
        <w:ind w:left="264" w:hangingChars="120" w:hanging="264"/>
        <w:jc w:val="both"/>
      </w:pPr>
      <w:r w:rsidRPr="00AB4D4D">
        <w:rPr>
          <w:rStyle w:val="aff"/>
        </w:rPr>
        <w:footnoteRef/>
      </w:r>
      <w:r w:rsidRPr="00AB4D4D">
        <w:t xml:space="preserve"> </w:t>
      </w:r>
      <w:r w:rsidRPr="00AB4D4D">
        <w:rPr>
          <w:rFonts w:hint="eastAsia"/>
        </w:rPr>
        <w:t>（一）按中央或地方機關，於其行使職權，適用憲法發生疑義，或因行使職權與其他機關之職權，發生適用憲法之爭議，或適用法律與命令發生有牴觸憲法之疑義者，得聲請解釋憲法，司法院大法官審理案件法第5條第1項第1款定有明文。（二）本件聲請人因行使調查「陳○明是否適任檢察總長一職」乙案及彈劾、糾舉之職權，適用法院組織法第66條第7項，認發生有牴觸憲法第53條暨憲法增修條文第3條第2項之疑義；及適用法院組織法第63條之1第1項，認發生有牴觸憲法第16條之疑義，聲請解釋。查聲請人之聲請意旨略以：1.聲請人調查前檢察總長陳○明之違法失職情形，於彈劾案件審查會中通過彈劾與附帶急速救濟之決議，然依法院組織法第66條第7項規定：「最高法院檢察署檢察總長由總統提名，經立法院同意任命之，任期4年，不得連任。」檢察總長之上級或主管長官究指法務部長或總統即有所不明。而上開規定所設之任命制度，剝奪行政院對檢察總長之人事任命權，已牴觸權力分立原則，與本院釋字第613號、第627號解釋意旨有違，發生牴觸憲法第53條暨憲法增修條文第3條第2項規定之疑義。2.告訴人對檢察官之不起訴或緩起訴處分不服者，依刑事訴訟法第256條第1項本文規定，應經原檢察官向直接上級法院檢察署檢察長或檢察總長聲請再議。惟法院組織法第63條之1第1項規定：「最高法院檢察署設特別偵查組……」，據此告訴人就特別偵查組檢察官之處分，倘應向檢察總長聲請再議，則不能期待發揮有效救濟功能，此外亦生妨礙人民聲請法院交付審判、架空職權再議規定、影響不起訴處分之確定力，導致被告受國家雙重追訴之危險等，相關爭議甚多，乃有違憲法第16條保障人民訴訟權之意旨。惟查：聲請人認法院組織法第66條第7項及第63條之1第1項規定有違憲疑義，然前者係有關檢察總長之任命方式，後者係有關特別偵查組織。而依聲請書所載，聲請人於本件中所行使之職權，係憲法第95條及第97條及監察法第14條所定之調查權及彈劾權，其所調查及彈劾之對象固為檢察總長，惟於本件中行使調查權及彈劾權時，並未適用上開法院組織法之規定。是其聲請核與司法院大法官審理案件法第5條第1項第1款規定不合，依同條第3項規定，應不受理。</w:t>
      </w:r>
    </w:p>
  </w:footnote>
  <w:footnote w:id="17">
    <w:p w:rsidR="00684EAD" w:rsidRPr="00AB4D4D" w:rsidRDefault="00684EAD" w:rsidP="00001E81">
      <w:pPr>
        <w:pStyle w:val="afd"/>
        <w:ind w:left="264" w:hangingChars="120" w:hanging="264"/>
        <w:jc w:val="both"/>
      </w:pPr>
      <w:r w:rsidRPr="00AB4D4D">
        <w:rPr>
          <w:rStyle w:val="aff"/>
        </w:rPr>
        <w:footnoteRef/>
      </w:r>
      <w:r w:rsidRPr="00AB4D4D">
        <w:rPr>
          <w:rFonts w:hint="eastAsia"/>
        </w:rPr>
        <w:t xml:space="preserve"> 監察院函：一、查本院前據劉祥君</w:t>
      </w:r>
      <w:r w:rsidRPr="00AB4D4D">
        <w:rPr>
          <w:rFonts w:hAnsi="標楷體" w:hint="eastAsia"/>
        </w:rPr>
        <w:t>，</w:t>
      </w:r>
      <w:r w:rsidRPr="00AB4D4D">
        <w:rPr>
          <w:rFonts w:hint="eastAsia"/>
        </w:rPr>
        <w:t>呈以被軍法機關枉法判罪一案</w:t>
      </w:r>
      <w:r w:rsidRPr="00AB4D4D">
        <w:rPr>
          <w:rFonts w:hAnsi="標楷體" w:hint="eastAsia"/>
        </w:rPr>
        <w:t>，</w:t>
      </w:r>
      <w:r w:rsidRPr="00AB4D4D">
        <w:rPr>
          <w:rFonts w:hint="eastAsia"/>
        </w:rPr>
        <w:t>經派員調閱原卷認為該劉祥君縱曾參加匪幫組織期間</w:t>
      </w:r>
      <w:r w:rsidRPr="00AB4D4D">
        <w:rPr>
          <w:rFonts w:hAnsi="標楷體" w:hint="eastAsia"/>
        </w:rPr>
        <w:t>，</w:t>
      </w:r>
      <w:r w:rsidRPr="00AB4D4D">
        <w:rPr>
          <w:rFonts w:hint="eastAsia"/>
        </w:rPr>
        <w:t>係在民國27年其時現行懲治叛亂條例尚未公布施行</w:t>
      </w:r>
      <w:r w:rsidRPr="00AB4D4D">
        <w:rPr>
          <w:rFonts w:hAnsi="標楷體" w:hint="eastAsia"/>
        </w:rPr>
        <w:t>，</w:t>
      </w:r>
      <w:r w:rsidRPr="00AB4D4D">
        <w:rPr>
          <w:rFonts w:hint="eastAsia"/>
        </w:rPr>
        <w:t>依刑法第2條規定應適用最有利於行為人之法律裁判</w:t>
      </w:r>
      <w:r w:rsidRPr="00AB4D4D">
        <w:rPr>
          <w:rFonts w:hAnsi="標楷體" w:hint="eastAsia"/>
        </w:rPr>
        <w:t>，</w:t>
      </w:r>
      <w:r w:rsidRPr="00AB4D4D">
        <w:rPr>
          <w:rFonts w:hint="eastAsia"/>
        </w:rPr>
        <w:t>同時應受36年1月1日公布施行之罪犯赦免減刑令之適用</w:t>
      </w:r>
      <w:r w:rsidRPr="00AB4D4D">
        <w:rPr>
          <w:rFonts w:hAnsi="標楷體" w:hint="eastAsia"/>
        </w:rPr>
        <w:t>，</w:t>
      </w:r>
      <w:r w:rsidRPr="00AB4D4D">
        <w:rPr>
          <w:rFonts w:hint="eastAsia"/>
        </w:rPr>
        <w:t>特於當前軍法行政及審判工作應行改革案內予以糾</w:t>
      </w:r>
      <w:r w:rsidRPr="00AB4D4D">
        <w:rPr>
          <w:rFonts w:hAnsi="標楷體" w:hint="eastAsia"/>
        </w:rPr>
        <w:t>，</w:t>
      </w:r>
      <w:r w:rsidRPr="00AB4D4D">
        <w:rPr>
          <w:rFonts w:hint="eastAsia"/>
        </w:rPr>
        <w:t>正經行政院飭據國防部復以參加叛亂組織之行為具有繼續性</w:t>
      </w:r>
      <w:r w:rsidRPr="00AB4D4D">
        <w:rPr>
          <w:rFonts w:hAnsi="標楷體" w:hint="eastAsia"/>
        </w:rPr>
        <w:t>，</w:t>
      </w:r>
      <w:r w:rsidRPr="00AB4D4D">
        <w:rPr>
          <w:rFonts w:hint="eastAsia"/>
        </w:rPr>
        <w:t>早經司法院21年院字第667號解釋有案</w:t>
      </w:r>
      <w:r w:rsidRPr="00AB4D4D">
        <w:rPr>
          <w:rFonts w:hAnsi="標楷體" w:hint="eastAsia"/>
        </w:rPr>
        <w:t>。</w:t>
      </w:r>
      <w:r w:rsidRPr="00AB4D4D">
        <w:rPr>
          <w:rFonts w:hint="eastAsia"/>
        </w:rPr>
        <w:t>該劉祥君參加叛亂組織雖在懲治叛亂條例施行以前</w:t>
      </w:r>
      <w:r w:rsidRPr="00AB4D4D">
        <w:rPr>
          <w:rFonts w:hAnsi="標楷體" w:hint="eastAsia"/>
        </w:rPr>
        <w:t>，</w:t>
      </w:r>
      <w:r w:rsidRPr="00AB4D4D">
        <w:rPr>
          <w:rFonts w:hint="eastAsia"/>
        </w:rPr>
        <w:t>但於該條例公布施行後未據聲明脫離叛亂組織</w:t>
      </w:r>
      <w:r w:rsidRPr="00AB4D4D">
        <w:rPr>
          <w:rFonts w:hAnsi="標楷體" w:hint="eastAsia"/>
        </w:rPr>
        <w:t>，</w:t>
      </w:r>
      <w:r w:rsidRPr="00AB4D4D">
        <w:rPr>
          <w:rFonts w:hint="eastAsia"/>
        </w:rPr>
        <w:t>亦未據向政府治安機關自首</w:t>
      </w:r>
      <w:r w:rsidRPr="00AB4D4D">
        <w:rPr>
          <w:rFonts w:hAnsi="標楷體" w:hint="eastAsia"/>
        </w:rPr>
        <w:t>，</w:t>
      </w:r>
      <w:r w:rsidRPr="00AB4D4D">
        <w:rPr>
          <w:rFonts w:hint="eastAsia"/>
        </w:rPr>
        <w:t>其參加叛亂組織之行為仍在繼續狀態依法自應適用現行懲治叛亂條例論究等語呈轉到院</w:t>
      </w:r>
      <w:r w:rsidRPr="00AB4D4D">
        <w:rPr>
          <w:rFonts w:hAnsi="標楷體" w:hint="eastAsia"/>
        </w:rPr>
        <w:t>。</w:t>
      </w:r>
      <w:r w:rsidRPr="00AB4D4D">
        <w:rPr>
          <w:rFonts w:hint="eastAsia"/>
        </w:rPr>
        <w:t>二、按參加叛亂組織行為具有繼續性應以具有與匪幫組織保持聯絡及為匪活動之事實</w:t>
      </w:r>
      <w:r w:rsidRPr="00AB4D4D">
        <w:rPr>
          <w:rFonts w:hAnsi="標楷體" w:hint="eastAsia"/>
        </w:rPr>
        <w:t>，</w:t>
      </w:r>
      <w:r w:rsidRPr="00AB4D4D">
        <w:rPr>
          <w:rFonts w:hint="eastAsia"/>
        </w:rPr>
        <w:t>若僅十餘年前曾一度參加</w:t>
      </w:r>
      <w:r w:rsidRPr="00AB4D4D">
        <w:rPr>
          <w:rFonts w:hAnsi="標楷體" w:hint="eastAsia"/>
        </w:rPr>
        <w:t>，</w:t>
      </w:r>
      <w:r w:rsidRPr="00AB4D4D">
        <w:rPr>
          <w:rFonts w:hint="eastAsia"/>
        </w:rPr>
        <w:t>嗣後即失去聯絡並無為匪活動之事實則犯罪行為</w:t>
      </w:r>
      <w:r w:rsidRPr="00AB4D4D">
        <w:rPr>
          <w:rFonts w:hAnsi="標楷體" w:hint="eastAsia"/>
        </w:rPr>
        <w:t>，</w:t>
      </w:r>
      <w:r w:rsidRPr="00AB4D4D">
        <w:rPr>
          <w:rFonts w:hint="eastAsia"/>
        </w:rPr>
        <w:t>顯已間斷自不能認為其參加行為在十餘年以至二三十年後仍在繼續狀態中且是否脫離匪幫組織應以有無聯絡及活動事實為斷</w:t>
      </w:r>
      <w:r w:rsidRPr="00AB4D4D">
        <w:rPr>
          <w:rFonts w:hAnsi="標楷體" w:hint="eastAsia"/>
        </w:rPr>
        <w:t>，</w:t>
      </w:r>
      <w:r w:rsidRPr="00AB4D4D">
        <w:rPr>
          <w:rFonts w:hint="eastAsia"/>
        </w:rPr>
        <w:t>不應以有無聲明為據</w:t>
      </w:r>
      <w:r w:rsidRPr="00AB4D4D">
        <w:rPr>
          <w:rFonts w:hAnsi="標楷體" w:hint="eastAsia"/>
        </w:rPr>
        <w:t>。</w:t>
      </w:r>
      <w:r w:rsidRPr="00AB4D4D">
        <w:rPr>
          <w:rFonts w:hint="eastAsia"/>
        </w:rPr>
        <w:t>原判決既認定其於27年考入華南學院後即失去聯絡並認定其參加匪幫組織暨在臺期間尚無為匪活動情事</w:t>
      </w:r>
      <w:r w:rsidRPr="00AB4D4D">
        <w:rPr>
          <w:rFonts w:hAnsi="標楷體" w:hint="eastAsia"/>
        </w:rPr>
        <w:t>，</w:t>
      </w:r>
      <w:r w:rsidRPr="00AB4D4D">
        <w:rPr>
          <w:rFonts w:hint="eastAsia"/>
        </w:rPr>
        <w:t>又依懲治叛亂條例第五條論處其見解殊有未當</w:t>
      </w:r>
      <w:r w:rsidRPr="00AB4D4D">
        <w:rPr>
          <w:rFonts w:hAnsi="標楷體" w:hint="eastAsia"/>
        </w:rPr>
        <w:t>。</w:t>
      </w:r>
      <w:r w:rsidRPr="00AB4D4D">
        <w:rPr>
          <w:rFonts w:hint="eastAsia"/>
        </w:rPr>
        <w:t>究竟懲治叛亂條例第五條所謂參加叛亂之組織</w:t>
      </w:r>
      <w:r w:rsidRPr="00AB4D4D">
        <w:rPr>
          <w:rFonts w:hint="eastAsia"/>
          <w:b/>
        </w:rPr>
        <w:t>是否可不問其加入行為係在若干年以前及現在之有無聯絡及活動事實均應認為其行為具有繼續性皆可適用同條例第5條論處</w:t>
      </w:r>
      <w:r w:rsidRPr="00AB4D4D">
        <w:rPr>
          <w:rFonts w:hAnsi="標楷體" w:hint="eastAsia"/>
          <w:b/>
        </w:rPr>
        <w:t>，</w:t>
      </w:r>
      <w:r w:rsidRPr="00AB4D4D">
        <w:rPr>
          <w:rFonts w:hint="eastAsia"/>
          <w:b/>
        </w:rPr>
        <w:t>所有刑法第2條及罪犯赦免減刑令</w:t>
      </w:r>
      <w:r w:rsidRPr="00AB4D4D">
        <w:rPr>
          <w:rFonts w:hAnsi="標楷體" w:hint="eastAsia"/>
          <w:b/>
        </w:rPr>
        <w:t>，</w:t>
      </w:r>
      <w:r w:rsidRPr="00AB4D4D">
        <w:rPr>
          <w:rFonts w:hint="eastAsia"/>
          <w:b/>
        </w:rPr>
        <w:t>均無適用餘地</w:t>
      </w:r>
      <w:r w:rsidRPr="00AB4D4D">
        <w:rPr>
          <w:rFonts w:hint="eastAsia"/>
        </w:rPr>
        <w:t>事關適用法律之見解歧異三、相應函請查照統一解釋見復為荷</w:t>
      </w:r>
    </w:p>
  </w:footnote>
  <w:footnote w:id="18">
    <w:p w:rsidR="00684EAD" w:rsidRPr="00AB4D4D" w:rsidRDefault="00684EAD" w:rsidP="00001E81">
      <w:pPr>
        <w:pStyle w:val="afd"/>
        <w:ind w:left="264" w:hangingChars="120" w:hanging="264"/>
        <w:jc w:val="both"/>
      </w:pPr>
      <w:r w:rsidRPr="00AB4D4D">
        <w:rPr>
          <w:rStyle w:val="aff"/>
        </w:rPr>
        <w:footnoteRef/>
      </w:r>
      <w:r w:rsidRPr="00AB4D4D">
        <w:rPr>
          <w:rFonts w:hint="eastAsia"/>
          <w:b/>
        </w:rPr>
        <w:t xml:space="preserve"> 釋憲聲請理由書如下</w:t>
      </w:r>
      <w:r w:rsidRPr="00AB4D4D">
        <w:rPr>
          <w:rFonts w:hAnsi="標楷體" w:hint="eastAsia"/>
          <w:b/>
        </w:rPr>
        <w:t>：</w:t>
      </w:r>
      <w:r w:rsidRPr="00AB4D4D">
        <w:rPr>
          <w:rFonts w:hint="eastAsia"/>
          <w:b/>
        </w:rPr>
        <w:t>事由：關於違警罰法所規定主罰中之拘留罰役及出版法第40條及第41條所規定對於出版品得予以定期停止其發行及撤銷其登記是否違反憲法函請惠予解釋見復由。一、憲法第8條規定：「人民身體自由應予保障……非由法院依法定程序不得審問處罰」而現行違警罰法所規定主罰中之拘留罰役則均係對於人身自由之處罰且所有偵訊裁決處罰執行均由警察官署為之按之上開憲法第8條所規定人民身體自由應予保障非由法院依法定程序不得審問處罰之規定自不無牴觸。二、憲法第11條規定：「人民有言論講學著作及出版之自由」第23條規定：「以上各條列舉之自由權利除為防止妨礙他人自由避免緊急危難維持社會秩序或增進公共利益所必要者外不得以法律限制之」現行出版法第40條及第41條所定對於出版品得予以定期停止其發行及撤銷其登記之處分雖得解為係對於憲法第23條所規定「為防止妨礙他人自由避免緊急危難維持社會秩序或增進公共利益之必要」而設之處分但此項處分之權均操之於省縣市政府及內政部且其處分足以妨害出版人之營業與生存其不經司法程序而由行政官署直接為之難免擅專用事使出版事業處於危殆地位似與憲法保障出版自由之規定及精神相悖謬且已超過憲法第23條規定之「必要」限度並違反五權分立不相侵犯之精神。三、查憲法第171條規定法律與憲法牴觸者無效法律與憲法有無牴觸發生疑義時由司法院解釋之本案上述兩項有無違憲之處相應函請查照惠予解釋見復為荷。</w:t>
      </w:r>
    </w:p>
  </w:footnote>
  <w:footnote w:id="19">
    <w:p w:rsidR="00684EAD" w:rsidRPr="00AB4D4D" w:rsidRDefault="00684EAD" w:rsidP="00C02B87">
      <w:pPr>
        <w:pStyle w:val="afd"/>
        <w:ind w:left="264" w:hangingChars="120" w:hanging="264"/>
        <w:jc w:val="both"/>
      </w:pPr>
      <w:r w:rsidRPr="00AB4D4D">
        <w:rPr>
          <w:rStyle w:val="aff"/>
        </w:rPr>
        <w:footnoteRef/>
      </w:r>
      <w:r w:rsidRPr="00AB4D4D">
        <w:rPr>
          <w:rFonts w:hint="eastAsia"/>
        </w:rPr>
        <w:t xml:space="preserve"> 翁岳生</w:t>
      </w:r>
      <w:r w:rsidRPr="00AB4D4D">
        <w:rPr>
          <w:rFonts w:hAnsi="標楷體" w:hint="eastAsia"/>
        </w:rPr>
        <w:t>，</w:t>
      </w:r>
      <w:r w:rsidRPr="00AB4D4D">
        <w:rPr>
          <w:rFonts w:hint="eastAsia"/>
        </w:rPr>
        <w:t>法治國家之行政法與司法</w:t>
      </w:r>
      <w:r w:rsidRPr="00AB4D4D">
        <w:rPr>
          <w:rFonts w:hAnsi="標楷體" w:hint="eastAsia"/>
        </w:rPr>
        <w:t>，</w:t>
      </w:r>
      <w:r w:rsidRPr="00AB4D4D">
        <w:rPr>
          <w:rFonts w:hint="eastAsia"/>
        </w:rPr>
        <w:t>月旦</w:t>
      </w:r>
      <w:r w:rsidRPr="00AB4D4D">
        <w:rPr>
          <w:rFonts w:hAnsi="標楷體" w:hint="eastAsia"/>
        </w:rPr>
        <w:t>，1994，頁393-394</w:t>
      </w:r>
      <w:r w:rsidRPr="00AB4D4D">
        <w:rPr>
          <w:rFonts w:hint="eastAsia"/>
        </w:rPr>
        <w:t>。本文為憲法之維護者-回顧與展望</w:t>
      </w:r>
      <w:r w:rsidRPr="00AB4D4D">
        <w:rPr>
          <w:rFonts w:hAnsi="標楷體" w:hint="eastAsia"/>
        </w:rPr>
        <w:t>，</w:t>
      </w:r>
      <w:r w:rsidRPr="00AB4D4D">
        <w:rPr>
          <w:rFonts w:hint="eastAsia"/>
        </w:rPr>
        <w:t>憲政思潮17期</w:t>
      </w:r>
      <w:r w:rsidRPr="00AB4D4D">
        <w:rPr>
          <w:rFonts w:hAnsi="標楷體" w:hint="eastAsia"/>
        </w:rPr>
        <w:t>，</w:t>
      </w:r>
      <w:r w:rsidRPr="00AB4D4D">
        <w:rPr>
          <w:rFonts w:hint="eastAsia"/>
        </w:rPr>
        <w:t>61年1月</w:t>
      </w:r>
      <w:r w:rsidRPr="00AB4D4D">
        <w:rPr>
          <w:rFonts w:hAnsi="標楷體" w:hint="eastAsia"/>
        </w:rPr>
        <w:t>。</w:t>
      </w:r>
    </w:p>
  </w:footnote>
  <w:footnote w:id="20">
    <w:p w:rsidR="00684EAD" w:rsidRPr="00AB4D4D" w:rsidRDefault="00684EAD" w:rsidP="00C02B87">
      <w:pPr>
        <w:pStyle w:val="afd"/>
        <w:jc w:val="both"/>
      </w:pPr>
      <w:r w:rsidRPr="00AB4D4D">
        <w:rPr>
          <w:rStyle w:val="aff"/>
        </w:rPr>
        <w:footnoteRef/>
      </w:r>
      <w:r w:rsidRPr="00AB4D4D">
        <w:t xml:space="preserve"> </w:t>
      </w:r>
      <w:r w:rsidRPr="00AB4D4D">
        <w:rPr>
          <w:rFonts w:hint="eastAsia"/>
        </w:rPr>
        <w:t>聲請書為監察院（81）監台院議字第0951號。</w:t>
      </w:r>
    </w:p>
    <w:p w:rsidR="00684EAD" w:rsidRPr="00AB4D4D" w:rsidRDefault="00684EAD" w:rsidP="00C02B87">
      <w:pPr>
        <w:pStyle w:val="afd"/>
        <w:ind w:leftChars="70" w:left="898" w:hangingChars="300" w:hanging="660"/>
        <w:jc w:val="both"/>
      </w:pPr>
      <w:r w:rsidRPr="00AB4D4D">
        <w:rPr>
          <w:rFonts w:hint="eastAsia"/>
        </w:rPr>
        <w:t>主旨：關於公職人員選舉罷免法第69條第2項規定「全國不分區、僑居國外國民選舉之當選人，不適用罷免之規定」有無與憲法之規定相牴觸，不無疑義，函請惠予解釋見復。</w:t>
      </w:r>
    </w:p>
    <w:p w:rsidR="00684EAD" w:rsidRPr="00AB4D4D" w:rsidRDefault="00684EAD" w:rsidP="00C02B87">
      <w:pPr>
        <w:pStyle w:val="afd"/>
        <w:ind w:leftChars="70" w:left="238"/>
        <w:jc w:val="both"/>
      </w:pPr>
      <w:r w:rsidRPr="00AB4D4D">
        <w:rPr>
          <w:rFonts w:hint="eastAsia"/>
        </w:rPr>
        <w:t>說明：</w:t>
      </w:r>
    </w:p>
    <w:p w:rsidR="00684EAD" w:rsidRPr="00AB4D4D" w:rsidRDefault="00684EAD" w:rsidP="00C02B87">
      <w:pPr>
        <w:pStyle w:val="afd"/>
        <w:ind w:leftChars="100" w:left="340"/>
        <w:jc w:val="both"/>
      </w:pPr>
      <w:r w:rsidRPr="00AB4D4D">
        <w:rPr>
          <w:rFonts w:hint="eastAsia"/>
        </w:rPr>
        <w:t>一、</w:t>
      </w:r>
      <w:r w:rsidRPr="00AB4D4D">
        <w:rPr>
          <w:rFonts w:hint="eastAsia"/>
        </w:rPr>
        <w:tab/>
        <w:t>現行公職人員選舉罷免法第69條第2項規定：「全國不分區、僑居國外國民選舉之當選人，不適用罷免之規定」，係基於僑居國外國民、全國不分區選出之政黨比例代表的功能，主要在建立政黨政治，以政黨為主軸，政黨比例代表既由政黨所提名，政黨自有約束當選人就職後行為之責任，以示向選民負責，如果政黨比例代表得適用罷免，但由於政黨比例代表選舉係以全國為選舉區，其罷免案之提議人數及連署人數難以訂定適當合理之標準，而且在全國選民均得進行罷免活動之情況下，政黨極可能介入罷免活動，造成社會成本與資源之浪費，經參酌外國立法例，從而主張不適用有關罷免之規定。</w:t>
      </w:r>
    </w:p>
    <w:p w:rsidR="00684EAD" w:rsidRPr="00AB4D4D" w:rsidRDefault="00684EAD" w:rsidP="00C02B87">
      <w:pPr>
        <w:pStyle w:val="afd"/>
        <w:ind w:leftChars="100" w:left="340"/>
        <w:jc w:val="both"/>
      </w:pPr>
      <w:r w:rsidRPr="00AB4D4D">
        <w:rPr>
          <w:rFonts w:hint="eastAsia"/>
        </w:rPr>
        <w:t>二、</w:t>
      </w:r>
      <w:r w:rsidRPr="00AB4D4D">
        <w:rPr>
          <w:rFonts w:hint="eastAsia"/>
        </w:rPr>
        <w:tab/>
        <w:t>按憲法第17條規定：「人民有選舉、罷免、創制、複決之權」，而各政黨黨員總數佔全民之比例不高，能否代表全民，不無疑義，現公職人員選舉罷免法第69條第2項之規定，以政黨比例代表致剝奪人民選舉罷免之權利，實與憲法保障人民參政權之規定相牴觸。</w:t>
      </w:r>
    </w:p>
    <w:p w:rsidR="00684EAD" w:rsidRPr="00AB4D4D" w:rsidRDefault="00684EAD" w:rsidP="00C02B87">
      <w:pPr>
        <w:pStyle w:val="afd"/>
        <w:ind w:leftChars="100" w:left="340"/>
        <w:jc w:val="both"/>
      </w:pPr>
      <w:r w:rsidRPr="00AB4D4D">
        <w:rPr>
          <w:rFonts w:hint="eastAsia"/>
        </w:rPr>
        <w:t>三、</w:t>
      </w:r>
      <w:r w:rsidRPr="00AB4D4D">
        <w:rPr>
          <w:rFonts w:hint="eastAsia"/>
        </w:rPr>
        <w:tab/>
        <w:t>次按憲法第23條規定：「以上各條列舉之自由權利，除為防止妨礙他人自由、避免緊急危難、維持社會秩序或增進公共利益所必要者外，不得以法律限制之」，公職人員選舉罷免法第69條第2項之規定，非但不足以構成上開法條所謂「必要」之要件，且為彰顯政黨政治更宜有罷免及遞補之規定，籍以增進政黨比例代表之功能，更為完善，始與憲法保障人民參政權之精神以及民主法治國家充分賦與人民政治權利之原則相吻合。</w:t>
      </w:r>
    </w:p>
    <w:p w:rsidR="00684EAD" w:rsidRPr="00AB4D4D" w:rsidRDefault="00684EAD" w:rsidP="00C02B87">
      <w:pPr>
        <w:pStyle w:val="afd"/>
        <w:ind w:leftChars="100" w:left="340"/>
        <w:jc w:val="both"/>
      </w:pPr>
      <w:r w:rsidRPr="00AB4D4D">
        <w:rPr>
          <w:rFonts w:hint="eastAsia"/>
        </w:rPr>
        <w:t>四、</w:t>
      </w:r>
      <w:r w:rsidRPr="00AB4D4D">
        <w:rPr>
          <w:rFonts w:hint="eastAsia"/>
        </w:rPr>
        <w:tab/>
        <w:t>復查外國之立法例亦有類似公職人員選舉罷免法第69條第2項之規定者，但各該國之憲法中並無如我國憲法第17條之明文規定，其情形顯然不同，因此外國之立法例雖可供參考之用，但難以援引為立法之依據。</w:t>
      </w:r>
    </w:p>
    <w:p w:rsidR="00684EAD" w:rsidRPr="00AB4D4D" w:rsidRDefault="00684EAD" w:rsidP="00C02B87">
      <w:pPr>
        <w:pStyle w:val="afd"/>
        <w:ind w:leftChars="100" w:left="340"/>
        <w:jc w:val="both"/>
      </w:pPr>
      <w:r w:rsidRPr="00AB4D4D">
        <w:rPr>
          <w:rFonts w:hint="eastAsia"/>
        </w:rPr>
        <w:t>五、</w:t>
      </w:r>
      <w:r w:rsidRPr="00AB4D4D">
        <w:rPr>
          <w:rFonts w:hint="eastAsia"/>
        </w:rPr>
        <w:tab/>
        <w:t>依照司法院大法官會議法第4條第1項第1款規定及本年5月12日本院第2016次會議決議辦理。</w:t>
      </w:r>
    </w:p>
  </w:footnote>
  <w:footnote w:id="21">
    <w:p w:rsidR="00684EAD" w:rsidRPr="00AB4D4D" w:rsidRDefault="00684EAD" w:rsidP="00C02B87">
      <w:pPr>
        <w:pStyle w:val="afd"/>
        <w:ind w:left="881" w:hangingChars="400" w:hanging="881"/>
        <w:jc w:val="both"/>
      </w:pPr>
      <w:r w:rsidRPr="00AB4D4D">
        <w:rPr>
          <w:rStyle w:val="aff"/>
        </w:rPr>
        <w:footnoteRef/>
      </w:r>
      <w:r w:rsidRPr="00AB4D4D">
        <w:rPr>
          <w:rFonts w:hint="eastAsia"/>
        </w:rPr>
        <w:t xml:space="preserve"> 案由：本院調查「司法院在無法律授權之下發布『法院辦理刑事訴訟案件應行注意事項』等與人民訴訟權利或人權有關的行政命令或內規，嚴重違反憲法第23條法律保留原則及中央法規標準法乙案」，與司法院本件復文所持見解，顯然有異，且其適用法律與命令發生有牴觸憲法之疑義，擬請院會公決，聲請司法院大法官會議解釋。</w:t>
      </w:r>
    </w:p>
    <w:p w:rsidR="00684EAD" w:rsidRPr="00AB4D4D" w:rsidRDefault="00684EAD" w:rsidP="00C02B87">
      <w:pPr>
        <w:pStyle w:val="afd"/>
        <w:ind w:leftChars="70" w:left="238"/>
        <w:jc w:val="both"/>
      </w:pPr>
      <w:r w:rsidRPr="00AB4D4D">
        <w:rPr>
          <w:rFonts w:hint="eastAsia"/>
        </w:rPr>
        <w:t>說明：</w:t>
      </w:r>
    </w:p>
    <w:p w:rsidR="00684EAD" w:rsidRPr="00AB4D4D" w:rsidRDefault="00684EAD" w:rsidP="00C02B87">
      <w:pPr>
        <w:pStyle w:val="afd"/>
        <w:ind w:leftChars="70" w:left="678" w:hangingChars="200" w:hanging="440"/>
        <w:jc w:val="both"/>
      </w:pPr>
      <w:r w:rsidRPr="00AB4D4D">
        <w:rPr>
          <w:rFonts w:hint="eastAsia"/>
        </w:rPr>
        <w:t>一、本院調查「司法院在無法律授權之下發布『法院辦理刑事訴訟案件應行注意事項』等與人民訴訟權利或人權有關的行政命令或內規，嚴重違反憲法第23條法律保留原則及中央法規標準法乙案」，調查意見略以：司法院未經法律授權逕以職權發布之行政命令（職權命令）計有司法院人事評議委員會評議規則等24種；未送立法院審查之法規有各級法院辦案期限規則等2種；未基於法律授權或依其法定職權訂定之命令與中央法規標準法規定不符者，計有辦理民事訴訟事件應行注意事項等19種，認為該院對於上開有關人民權利義務之行政命令，有未依法律訂定或未基於法律之授權或未送立法院審查，顯有悖憲法保障人權之精神並違反中央法規標準法之規定，致嚴重侵害人民之權益，移經司法委員會決議函司法院妥善處理見復。</w:t>
      </w:r>
    </w:p>
    <w:p w:rsidR="00684EAD" w:rsidRPr="00AB4D4D" w:rsidRDefault="00684EAD" w:rsidP="00C02B87">
      <w:pPr>
        <w:pStyle w:val="afd"/>
        <w:ind w:leftChars="70" w:left="678" w:hangingChars="200" w:hanging="440"/>
        <w:jc w:val="both"/>
      </w:pPr>
      <w:r w:rsidRPr="00AB4D4D">
        <w:rPr>
          <w:rFonts w:hint="eastAsia"/>
        </w:rPr>
        <w:t>二、茲准該院85年3月16日（八五）院台參字第02416號復函略以：關於憲政層次之人權法益之法院辦理刑事訴訟案件被告具保責付辦法（84年7月31日已修正為要點）及「法院辦理刑事訴訟案件應行注意事項」各點（見調查意見第3頁反面），係將重要判解及法條內容要旨彙集而成，旨在促使法官注意，避免疏失，以重人權，每點、每項內容，或有判解決議可據或為闡述法條要旨提示要領。原調查意見所舉「法院辦理刑事訴訟案件應行注意事項」全文計一百項，每一項末均有括弧註記出處，以示根據，足見純屬資料彙整，並非該項本身做何規定，更無所謂違反法律保留原則之可言。又就「法院辦理刑事訴訟案件被告具保責付要點」而言亦復如是。況具保責付辦法（已改為要點）與應行注意事項兩種內規，旨在就刑事訴訟法所定內容加以闡明、補充或提示而已，藉以發揮規範司法人員審慎辦理訴訟案件之功能。非僅未逾越法律規定範圍，甚且較法律更為嚴謹、重視人權之用心，尤有過之，應無低貶人權之虞。且刑事訴訟法為憲法第170條所定之法律，今既為司法行政上注意命令所由據，又復無逾於母法，仍不失其輔助性，則此注意命令本身即難謂有違憲法第23條所定法律保留之原則與中央法規標準法之規定。本院其他處於此一位階之類似內規，其性質、作用及功能亦皆如此。又調查意見認定本院乃為司法行政機關，「為司法權的輔助機制，不能對司法權獨立產生妨礙」、「司法權內部事項其辦法或規則由於屬法庭規則與人民權益無直接關係，應由審判機關自行制訂」，從而認為當前「卻由職掌司法行政之司法院發布，形成主、客易位的現象」一節：</w:t>
      </w:r>
      <w:r w:rsidRPr="00AB4D4D">
        <w:t>1.</w:t>
      </w:r>
      <w:r w:rsidRPr="00AB4D4D">
        <w:rPr>
          <w:rFonts w:hint="eastAsia"/>
        </w:rPr>
        <w:t>依憲法第77條規定：「司法院為國家最高司法機關，掌理民事、刑事、行政訴訟之審判及公務員之懲戒」。可見本院所應「掌理」者，乃為「審判」及「懲戒」事項，並非規定「司法院為國家最高司法行政機關」，自不應因司法組織體系之設計未盡妥適，致使本院職掌側重於司法行政監督，尚未直接承擔審判工作，而根本否認憲法所賦與本院之法定職掌，與依職權所發布之行政命令或內規權限。</w:t>
      </w:r>
      <w:r w:rsidRPr="00AB4D4D">
        <w:t>2.</w:t>
      </w:r>
      <w:r w:rsidRPr="00AB4D4D">
        <w:rPr>
          <w:rFonts w:hint="eastAsia"/>
        </w:rPr>
        <w:t>本院以往所發布與訴訟有關之注意事項或要點，雖非中央法規標準法所指之法規命令，然參照釋字第253號解釋意旨，業已肯定「司法行政機關」有權發布此項內規。從而，本院目前縱非審判機關，仍非不得發布此項司法行政上之注意要點或其他名稱之內規，要屬無疑。</w:t>
      </w:r>
      <w:r w:rsidRPr="00AB4D4D">
        <w:t>3.</w:t>
      </w:r>
      <w:r w:rsidRPr="00AB4D4D">
        <w:rPr>
          <w:rFonts w:hint="eastAsia"/>
        </w:rPr>
        <w:t>關於最高法院以下各級法院有無「規則制定權」一節，我國憲法並無如同日本憲法第77條之明文規定，此乃學理探討之問題。綜上本院除已將部分行政命令與內規調整為法規命令外，尚無不符法制之處」等語。</w:t>
      </w:r>
    </w:p>
    <w:p w:rsidR="00684EAD" w:rsidRPr="00AB4D4D" w:rsidRDefault="00684EAD" w:rsidP="00634538">
      <w:pPr>
        <w:pStyle w:val="afd"/>
        <w:ind w:leftChars="70" w:left="678" w:hangingChars="200" w:hanging="440"/>
      </w:pPr>
      <w:r w:rsidRPr="00AB4D4D">
        <w:rPr>
          <w:rFonts w:hint="eastAsia"/>
        </w:rPr>
        <w:t>三、上開司法院復文所持見解與本院前揭調查意見之見解，顯然有異，且其適用法律與命令發生有牴觸憲法之疑義。為維護憲法精神及法律尊嚴，爰擬影附調查意見及司法院復函聲請司法院依法解釋見復。</w:t>
      </w:r>
    </w:p>
    <w:p w:rsidR="00684EAD" w:rsidRPr="00AB4D4D" w:rsidRDefault="00684EAD" w:rsidP="00634538">
      <w:pPr>
        <w:pStyle w:val="afd"/>
        <w:ind w:leftChars="70" w:left="678" w:hangingChars="200" w:hanging="440"/>
      </w:pPr>
      <w:r w:rsidRPr="00AB4D4D">
        <w:rPr>
          <w:rFonts w:hint="eastAsia"/>
        </w:rPr>
        <w:t>四、謹附㈠聲請解釋總說明乙份。㈡調查報告影本。㈢司法院85年3月16日（八五）院台參字第02416號函影本。</w:t>
      </w:r>
    </w:p>
  </w:footnote>
  <w:footnote w:id="22">
    <w:p w:rsidR="00684EAD" w:rsidRPr="00AB4D4D" w:rsidRDefault="00684EAD">
      <w:pPr>
        <w:pStyle w:val="afd"/>
      </w:pPr>
      <w:r w:rsidRPr="00AB4D4D">
        <w:rPr>
          <w:rStyle w:val="aff"/>
        </w:rPr>
        <w:footnoteRef/>
      </w:r>
      <w:r w:rsidRPr="00AB4D4D">
        <w:t xml:space="preserve"> </w:t>
      </w:r>
      <w:r w:rsidRPr="00AB4D4D">
        <w:rPr>
          <w:rFonts w:hint="eastAsia"/>
          <w:b/>
        </w:rPr>
        <w:t>事實上就本案而言</w:t>
      </w:r>
      <w:r w:rsidRPr="00AB4D4D">
        <w:rPr>
          <w:rFonts w:hAnsi="標楷體" w:hint="eastAsia"/>
          <w:b/>
        </w:rPr>
        <w:t>，</w:t>
      </w:r>
      <w:r w:rsidRPr="00AB4D4D">
        <w:rPr>
          <w:rFonts w:hint="eastAsia"/>
          <w:b/>
        </w:rPr>
        <w:t>無論採何種認定標準</w:t>
      </w:r>
      <w:r w:rsidRPr="00AB4D4D">
        <w:rPr>
          <w:rFonts w:hAnsi="標楷體" w:hint="eastAsia"/>
          <w:b/>
        </w:rPr>
        <w:t>，</w:t>
      </w:r>
      <w:r w:rsidRPr="00AB4D4D">
        <w:rPr>
          <w:rFonts w:hint="eastAsia"/>
          <w:b/>
        </w:rPr>
        <w:t>監察院均為行使職權</w:t>
      </w:r>
      <w:r w:rsidRPr="00AB4D4D">
        <w:rPr>
          <w:rFonts w:hAnsi="標楷體" w:hint="eastAsia"/>
          <w:b/>
        </w:rPr>
        <w:t>，</w:t>
      </w:r>
      <w:r w:rsidRPr="00AB4D4D">
        <w:rPr>
          <w:rFonts w:hint="eastAsia"/>
          <w:b/>
        </w:rPr>
        <w:t>無庸置疑</w:t>
      </w:r>
      <w:r w:rsidRPr="00AB4D4D">
        <w:rPr>
          <w:rFonts w:hAnsi="標楷體" w:hint="eastAsia"/>
          <w:b/>
        </w:rPr>
        <w:t>。</w:t>
      </w:r>
    </w:p>
  </w:footnote>
  <w:footnote w:id="23">
    <w:p w:rsidR="00684EAD" w:rsidRPr="00AB4D4D" w:rsidRDefault="00684EAD" w:rsidP="00634538">
      <w:pPr>
        <w:pStyle w:val="afd"/>
        <w:ind w:left="264" w:hangingChars="120" w:hanging="264"/>
      </w:pPr>
      <w:r w:rsidRPr="00AB4D4D">
        <w:rPr>
          <w:rStyle w:val="aff"/>
        </w:rPr>
        <w:footnoteRef/>
      </w:r>
      <w:r w:rsidRPr="00AB4D4D">
        <w:rPr>
          <w:rFonts w:hint="eastAsia"/>
        </w:rPr>
        <w:t xml:space="preserve"> 許宗力（1998）。大法官審理案件法與修正草案之檢視－以大法官釋憲權行使之程序及範圍的相關規定為中心。憲政時代，24(3)，156-158。</w:t>
      </w:r>
    </w:p>
  </w:footnote>
  <w:footnote w:id="24">
    <w:p w:rsidR="00684EAD" w:rsidRPr="00AB4D4D" w:rsidRDefault="00684EAD" w:rsidP="004D1F90">
      <w:pPr>
        <w:pStyle w:val="afd"/>
        <w:ind w:left="264" w:hangingChars="120" w:hanging="264"/>
        <w:jc w:val="both"/>
      </w:pPr>
      <w:r w:rsidRPr="00AB4D4D">
        <w:rPr>
          <w:rStyle w:val="aff"/>
        </w:rPr>
        <w:footnoteRef/>
      </w:r>
      <w:r w:rsidRPr="00AB4D4D">
        <w:rPr>
          <w:rFonts w:hAnsi="標楷體" w:hint="eastAsia"/>
          <w:b/>
        </w:rPr>
        <w:t xml:space="preserve"> </w:t>
      </w:r>
      <w:r w:rsidRPr="00AB4D4D">
        <w:rPr>
          <w:rFonts w:hAnsi="標楷體" w:hint="eastAsia"/>
        </w:rPr>
        <w:t>陳愛娥，違憲審查與司法政策之關係-由程序法的觀點評論大法官釋字第530號解釋，</w:t>
      </w:r>
      <w:r w:rsidRPr="00AB4D4D">
        <w:rPr>
          <w:rFonts w:hint="eastAsia"/>
        </w:rPr>
        <w:t>法治斌教授紀念論文集編輯委員會（2004）。法治與現代行政法學一法治斌教授紀念論文集。臺北市：元照</w:t>
      </w:r>
      <w:r w:rsidRPr="00AB4D4D">
        <w:rPr>
          <w:rFonts w:hAnsi="標楷體" w:hint="eastAsia"/>
        </w:rPr>
        <w:t>，頁</w:t>
      </w:r>
      <w:r w:rsidRPr="00AB4D4D">
        <w:rPr>
          <w:rFonts w:hAnsi="標楷體"/>
        </w:rPr>
        <w:t>149-152</w:t>
      </w:r>
      <w:r w:rsidRPr="00AB4D4D">
        <w:rPr>
          <w:rFonts w:hAnsi="標楷體" w:hint="eastAsia"/>
        </w:rPr>
        <w:t>。</w:t>
      </w:r>
    </w:p>
  </w:footnote>
  <w:footnote w:id="25">
    <w:p w:rsidR="00684EAD" w:rsidRPr="00AB4D4D" w:rsidRDefault="00684EAD" w:rsidP="004D1F90">
      <w:pPr>
        <w:pStyle w:val="afd"/>
        <w:ind w:left="264" w:hangingChars="120" w:hanging="264"/>
        <w:jc w:val="both"/>
      </w:pPr>
      <w:r w:rsidRPr="00AB4D4D">
        <w:rPr>
          <w:rStyle w:val="aff"/>
        </w:rPr>
        <w:footnoteRef/>
      </w:r>
      <w:r w:rsidRPr="00AB4D4D">
        <w:rPr>
          <w:rFonts w:hint="eastAsia"/>
        </w:rPr>
        <w:t xml:space="preserve"> 許宗力，〈權力分立與機關忠誠--以德國憲法法院裁判為中心〉，《憲政時代》第27卷第4期，頁3-32。（許宗力。法與國家權力（二）。臺北市：元照。許宗力，2007：頁295）</w:t>
      </w:r>
    </w:p>
  </w:footnote>
  <w:footnote w:id="26">
    <w:p w:rsidR="00684EAD" w:rsidRPr="00AB4D4D" w:rsidRDefault="00684EAD" w:rsidP="00C02B87">
      <w:pPr>
        <w:pStyle w:val="afd"/>
        <w:ind w:left="264" w:hangingChars="120" w:hanging="264"/>
      </w:pPr>
      <w:r w:rsidRPr="00AB4D4D">
        <w:rPr>
          <w:rStyle w:val="aff"/>
        </w:rPr>
        <w:footnoteRef/>
      </w:r>
      <w:r w:rsidRPr="00AB4D4D">
        <w:rPr>
          <w:rFonts w:hint="eastAsia"/>
        </w:rPr>
        <w:t xml:space="preserve"> 許宗力，〈權力分立與機關忠誠--以德國憲法法院裁判為中心〉，《憲政時代》第27卷第4期，頁3-32。（許宗力。法與國家權力（二）。臺北市：元照。許宗力，2007：頁296）</w:t>
      </w:r>
    </w:p>
  </w:footnote>
  <w:footnote w:id="27">
    <w:p w:rsidR="00684EAD" w:rsidRPr="00AB4D4D" w:rsidRDefault="00684EAD" w:rsidP="008849F1">
      <w:pPr>
        <w:pStyle w:val="afd"/>
        <w:ind w:left="264" w:hangingChars="120" w:hanging="264"/>
      </w:pPr>
      <w:r w:rsidRPr="00AB4D4D">
        <w:rPr>
          <w:rStyle w:val="aff"/>
        </w:rPr>
        <w:footnoteRef/>
      </w:r>
      <w:r w:rsidRPr="00AB4D4D">
        <w:rPr>
          <w:rFonts w:hint="eastAsia"/>
        </w:rPr>
        <w:t xml:space="preserve"> 關於功能最適理論之說明，詳見陳愛娥，〈大法官憲法解釋權之界線—由功能法的觀點出法〉，《憲政時代》第42卷第3期，頁170-222。</w:t>
      </w:r>
    </w:p>
  </w:footnote>
  <w:footnote w:id="28">
    <w:p w:rsidR="00684EAD" w:rsidRPr="00AB4D4D" w:rsidRDefault="00684EAD" w:rsidP="006D612A">
      <w:pPr>
        <w:pStyle w:val="afd"/>
        <w:ind w:left="264" w:hangingChars="120" w:hanging="264"/>
      </w:pPr>
      <w:r w:rsidRPr="00AB4D4D">
        <w:rPr>
          <w:rStyle w:val="aff"/>
        </w:rPr>
        <w:footnoteRef/>
      </w:r>
      <w:r w:rsidRPr="00AB4D4D">
        <w:rPr>
          <w:rFonts w:hint="eastAsia"/>
        </w:rPr>
        <w:t xml:space="preserve"> 許宗力，〈權力分立與機關忠誠--以德國憲法法院裁判為中心〉，《憲政時代》第27卷第4期，頁3-32。（許宗力。法與國家權力（二）。臺北市：元照。許宗力，2007：頁</w:t>
      </w:r>
      <w:r w:rsidRPr="00AB4D4D">
        <w:t>339</w:t>
      </w:r>
      <w:r w:rsidRPr="00AB4D4D">
        <w:rPr>
          <w:rFonts w:hint="eastAsia"/>
        </w:rPr>
        <w:t>）</w:t>
      </w:r>
    </w:p>
  </w:footnote>
  <w:footnote w:id="29">
    <w:p w:rsidR="00684EAD" w:rsidRPr="00AB4D4D" w:rsidRDefault="00684EAD" w:rsidP="006D612A">
      <w:pPr>
        <w:pStyle w:val="afd"/>
        <w:ind w:left="264" w:hangingChars="120" w:hanging="264"/>
      </w:pPr>
      <w:r w:rsidRPr="00AB4D4D">
        <w:rPr>
          <w:rStyle w:val="aff"/>
        </w:rPr>
        <w:footnoteRef/>
      </w:r>
      <w:r w:rsidRPr="00AB4D4D">
        <w:rPr>
          <w:rFonts w:hint="eastAsia"/>
        </w:rPr>
        <w:t xml:space="preserve"> 林子儀，〈憲政體制與機關爭議之釋憲方法之應用—美國聯邦最高法院審理權力分立案件之解釋方法〉，《憲政時代》第27卷第4期，頁32-65。</w:t>
      </w:r>
    </w:p>
  </w:footnote>
  <w:footnote w:id="30">
    <w:p w:rsidR="00684EAD" w:rsidRPr="00AB4D4D" w:rsidRDefault="00684EAD" w:rsidP="008849F1">
      <w:pPr>
        <w:pStyle w:val="afd"/>
        <w:ind w:left="264" w:hangingChars="120" w:hanging="264"/>
      </w:pPr>
      <w:r w:rsidRPr="00AB4D4D">
        <w:rPr>
          <w:rStyle w:val="aff"/>
        </w:rPr>
        <w:footnoteRef/>
      </w:r>
      <w:r w:rsidRPr="00AB4D4D">
        <w:rPr>
          <w:rFonts w:hint="eastAsia"/>
        </w:rPr>
        <w:t xml:space="preserve"> 林子儀，〈憲政體制與機關爭議之釋憲方法之應用—美國聯邦最高法院審理權力分立案件之解釋方法〉，《憲政時代》第27卷第4期，頁32-65。</w:t>
      </w:r>
    </w:p>
  </w:footnote>
  <w:footnote w:id="31">
    <w:p w:rsidR="00684EAD" w:rsidRPr="00AB4D4D" w:rsidRDefault="00684EAD" w:rsidP="006D612A">
      <w:pPr>
        <w:pStyle w:val="afd"/>
        <w:ind w:left="264" w:hangingChars="120" w:hanging="264"/>
        <w:jc w:val="both"/>
        <w:rPr>
          <w:rFonts w:hAnsi="標楷體"/>
        </w:rPr>
      </w:pPr>
      <w:r w:rsidRPr="00AB4D4D">
        <w:rPr>
          <w:rStyle w:val="aff"/>
        </w:rPr>
        <w:footnoteRef/>
      </w:r>
      <w:r w:rsidRPr="00AB4D4D">
        <w:t xml:space="preserve"> </w:t>
      </w:r>
      <w:r w:rsidRPr="00AB4D4D">
        <w:rPr>
          <w:rFonts w:hAnsi="標楷體" w:hint="eastAsia"/>
        </w:rPr>
        <w:t>西元1906年12月2日（民前6年10月17日），孫中山先生於中國同盟會在東京舉行民報一週年紀念會演講《三民主義與中國民族之前途》，首揭監察機關（權）獨立見解。內容略以：「糾察權，專管監督彈劾的事。此機關無論何國皆必有的，其理為人所易曉。但是中華民國憲法，這機關定要獨立。中國從古以來，本有御史臺主持風憲，然亦不過君主奴隸，沒有中用的道理。現在立憲各國，沒有不是立法機關兼有監督之權限；該權限雖有強有弱，總是不能獨立，因此生出無數弊病。比方美國糾察權歸議院掌握，往往擅用此權，挾制行政機關…成為議院專制，…。合上四權，共成為五權分立，這不但是各國制度上所未有，便是學說上也不多見，可謂破天荒政體，兄弟如今發明這基礎。至於那詳細條理，完全結構，要望大眾同志盡力研究，匡所不逮，以成將來中華民國憲法。」（國父全集編輯委員會編《國父全集》第1冊），有關監察院職權，孫中山先生於民前</w:t>
      </w:r>
      <w:r w:rsidRPr="00AB4D4D">
        <w:rPr>
          <w:rFonts w:hAnsi="標楷體"/>
        </w:rPr>
        <w:t>6</w:t>
      </w:r>
      <w:r w:rsidRPr="00AB4D4D">
        <w:rPr>
          <w:rFonts w:hAnsi="標楷體" w:hint="eastAsia"/>
        </w:rPr>
        <w:t>年最早提出監察權時，係使用「糾察權」，嗣於民國</w:t>
      </w:r>
      <w:r w:rsidRPr="00AB4D4D">
        <w:rPr>
          <w:rFonts w:hAnsi="標楷體"/>
        </w:rPr>
        <w:t>13</w:t>
      </w:r>
      <w:r w:rsidRPr="00AB4D4D">
        <w:rPr>
          <w:rFonts w:hAnsi="標楷體" w:hint="eastAsia"/>
        </w:rPr>
        <w:t>年「民權主義第六講」並將此糾察權比較成彈劾權。參見，陳新民，《中華民國憲法釋論》， 90年1月四版修訂四版，三民書局。第714頁。</w:t>
      </w:r>
    </w:p>
  </w:footnote>
  <w:footnote w:id="32">
    <w:p w:rsidR="00684EAD" w:rsidRPr="00AB4D4D" w:rsidRDefault="00684EAD" w:rsidP="006D612A">
      <w:pPr>
        <w:pStyle w:val="afd"/>
        <w:ind w:left="264" w:hangingChars="120" w:hanging="264"/>
      </w:pPr>
      <w:r w:rsidRPr="00AB4D4D">
        <w:rPr>
          <w:rStyle w:val="aff"/>
        </w:rPr>
        <w:footnoteRef/>
      </w:r>
      <w:r w:rsidRPr="00AB4D4D">
        <w:t xml:space="preserve"> </w:t>
      </w:r>
      <w:r w:rsidRPr="00AB4D4D">
        <w:rPr>
          <w:rFonts w:hint="eastAsia"/>
        </w:rPr>
        <w:t>西元1910年2月10-27日（民前2年1月1-18日），孫中山先生在美國舊金山與劉成禺談話。略以：「…自唐虞賡歌颺拜以來，左史記言，右史記事，行人采風之官，百二十國寶書之藏，所以立綱紀、通民情也。自茲以降，漢重御史大夫之制，唐重分司御史之職，宋有御史中丞、殿中丞。明清兩代御史，官品雖小而權重內外，上自君相，下及微職，儆惕惶恐，不敢犯法。御史自有特權，受廷杖、受譴責在所不計，何等風節！何等氣概！譬如美國彈劾權，付之立法上議院議決，上議院三分之二裁可，此等案件開國以來不過數起，他則付諸司法巡迴裁判官之處理貪官污吏而已。英國彈劾亦在貴族、平民兩院，關於皇室則在御前議政院，亦付諸立法也。如我中國，本歷史習慣彈劾鼎立為五權之監察院，代表人民國家之正氣，此數千年制度可為世界進化之先覺。」（國父全集編輯委員會編《國父全集》第2冊）</w:t>
      </w:r>
    </w:p>
  </w:footnote>
  <w:footnote w:id="33">
    <w:p w:rsidR="00684EAD" w:rsidRPr="00AB4D4D" w:rsidRDefault="00684EAD" w:rsidP="006D612A">
      <w:pPr>
        <w:pStyle w:val="afd"/>
        <w:ind w:left="264" w:hangingChars="120" w:hanging="264"/>
      </w:pPr>
      <w:r w:rsidRPr="00AB4D4D">
        <w:rPr>
          <w:rStyle w:val="aff"/>
        </w:rPr>
        <w:footnoteRef/>
      </w:r>
      <w:r w:rsidRPr="00AB4D4D">
        <w:rPr>
          <w:rFonts w:hint="eastAsia"/>
        </w:rPr>
        <w:t xml:space="preserve"> 西元1916年7月，孫中山先生於上海歡送兩院議員大會中講《憲法之基礎》。內容略以：「孟德斯鳩提倡三權分立以來，各國以之為憲法基礎。予則主張五權分立是也。三權分立之法，通行百數十年，幾如鐵案。至今日文明進步，如美利堅等國，乃覺其未能盡善；惟欲中途變動，則殊非容易耳。現我國正欲制定憲法，即乘機採用五權之制。且此之所謂五權者，如立法、司法、行政三權固可弗論，其他二權，各國之所無者，我國昔已有之。其一為御史彈劾，即皇帝亦莫能干涉之者。…此彈劾權及考試權，實吾國優點。吾人採取外國良法，對本國優點，亦殊不可輕棄。美國哥倫比亞大學希斯洛嘗主張加一『彈劾權』，而為四權並立。」（國父全集編輯委員會編《國父全集》第2冊）</w:t>
      </w:r>
    </w:p>
  </w:footnote>
  <w:footnote w:id="34">
    <w:p w:rsidR="00684EAD" w:rsidRPr="00AB4D4D" w:rsidRDefault="00684EAD" w:rsidP="006D612A">
      <w:pPr>
        <w:pStyle w:val="afd"/>
        <w:ind w:left="264" w:hangingChars="120" w:hanging="264"/>
      </w:pPr>
      <w:r w:rsidRPr="00AB4D4D">
        <w:rPr>
          <w:rStyle w:val="aff"/>
        </w:rPr>
        <w:footnoteRef/>
      </w:r>
      <w:r>
        <w:rPr>
          <w:rFonts w:hint="eastAsia"/>
        </w:rPr>
        <w:t xml:space="preserve"> </w:t>
      </w:r>
      <w:r w:rsidRPr="00AB4D4D">
        <w:rPr>
          <w:rFonts w:hint="eastAsia"/>
        </w:rPr>
        <w:t>西元1916年8月，孫中山先生在杭州陸軍同袍社講演，略以：「何為五權分立？蓋除立法、司法、行政外，加入彈劾、考試。此二種制度，在我國並非新法，古時已有新制，良法美意，實足為近世各國模範。古時彈劾之制，不獨行之官吏，即君上有過，犯顏諫諍，亦不容絲毫假借。設行諸近世，實足以救三權鼎立之弊。…論其理由，非立談可罄，假以歲月，當博考西籍，彙為一篇，以資供獻。異日吾國果能實行此制，當為世界各國所效法焉。」（國父全集編輯委員會編《國父全集》第2冊）</w:t>
      </w:r>
    </w:p>
  </w:footnote>
  <w:footnote w:id="35">
    <w:p w:rsidR="00684EAD" w:rsidRPr="00AB4D4D" w:rsidRDefault="00684EAD" w:rsidP="006D612A">
      <w:pPr>
        <w:pStyle w:val="afd"/>
        <w:ind w:left="264" w:hangingChars="120" w:hanging="264"/>
      </w:pPr>
      <w:r w:rsidRPr="00AB4D4D">
        <w:rPr>
          <w:rStyle w:val="aff"/>
        </w:rPr>
        <w:footnoteRef/>
      </w:r>
      <w:r w:rsidRPr="00AB4D4D">
        <w:rPr>
          <w:rFonts w:hint="eastAsia"/>
        </w:rPr>
        <w:t xml:space="preserve"> 孫中山先生於西元1919年出版《孫文學說》，第6章規定：「俟全國平定之後6年，各縣之已達完全自治者，皆得選舉代表一人，組織國民大會，以制定五權憲法。以五院制為中央政府；一曰行政院，二曰立法院，三曰司法院，四曰考試院，五曰監察院。憲法制定之後，由各縣人民投票選舉總統，以組織行政院；選舉代議士，以組織立法院；其餘三院之院長，由總統得立法院之同意而委任之，但不對總統立法院負責；而五院皆對於國民大會負責。各院人員失職，由監察院向國民大會彈劾之；而監察院人員失職，則國民大會自行彈劾而罷黜之。國民大會職權，專司憲法之修改，及制裁公僕之失職。國民大會及五院職員，與夫全國大小官吏，其資格皆由考試院定之。此五權憲法也。憲法制定，總統、議員舉出後，革命政府當歸政於民選之總統，而訓政時期於以告終。第三為建設完成時期，擬在此期開始，實行憲法，此時一縣之自治團體，當實行直接民權。…」（國父全集編輯委員會編《國父全集》第2冊）</w:t>
      </w:r>
    </w:p>
  </w:footnote>
  <w:footnote w:id="36">
    <w:p w:rsidR="00684EAD" w:rsidRPr="00AB4D4D" w:rsidRDefault="00684EAD" w:rsidP="006D612A">
      <w:pPr>
        <w:pStyle w:val="afd"/>
        <w:ind w:left="264" w:hangingChars="120" w:hanging="264"/>
      </w:pPr>
      <w:r w:rsidRPr="00AB4D4D">
        <w:rPr>
          <w:rStyle w:val="aff"/>
        </w:rPr>
        <w:footnoteRef/>
      </w:r>
      <w:r w:rsidRPr="00AB4D4D">
        <w:rPr>
          <w:rFonts w:hint="eastAsia"/>
        </w:rPr>
        <w:t xml:space="preserve"> 孫中山先生先後於西元1921年3月20日在廣東省教育會、同年7月在中國國民黨特設辦公室講「五權憲法」。內容略以：「五權憲法是兄弟創造出來。…五權憲法之根據，就是我研究各國憲法，獨自思想出來的」、「美國三權憲法不完備地方很多…兄弟想起美國哥倫比亞大學一位教授希斯洛（希斯羅）著一本書『自由』。他說憲法三權不夠用，主張『四權』，要把國會中『彈劾權』獨立，『彈劾權』同『立法權』、『司法權』、『行政權』四權分立。」、「『彈劾權』在中國君主時代，有專管彈劾的官，像唐朝諫議大夫與清朝御史之類，就是遇到君主有過，也可冒死直諫。…從前美國一位學者巴直氏所著『自由與政府』一書，說明中國的彈劾，是自由與政府中間一種最良善調和方法。由此可見中國從前的考試權及『彈劾權』都是很好制度，憲法決不可少。」、「五權憲法的立法人員，就是國會議員。行政首領，就是大總統。司法人員，就是裁判官。其餘行使彈劾權的，有監察官 。行使考試權，有考試官。」（國父全集編輯委員會編《國父全集》第2冊）</w:t>
      </w:r>
    </w:p>
  </w:footnote>
  <w:footnote w:id="37">
    <w:p w:rsidR="00684EAD" w:rsidRPr="00AB4D4D" w:rsidRDefault="00684EAD" w:rsidP="000D2A39">
      <w:pPr>
        <w:pStyle w:val="afd"/>
        <w:ind w:left="264" w:hangingChars="120" w:hanging="264"/>
      </w:pPr>
      <w:r w:rsidRPr="00AB4D4D">
        <w:rPr>
          <w:rStyle w:val="aff"/>
        </w:rPr>
        <w:footnoteRef/>
      </w:r>
      <w:r w:rsidRPr="00AB4D4D">
        <w:t xml:space="preserve"> </w:t>
      </w:r>
      <w:r w:rsidRPr="00AB4D4D">
        <w:rPr>
          <w:rFonts w:hint="eastAsia"/>
        </w:rPr>
        <w:t>西元1924年4月26日，孫中山先生《民權主義－第六講》，揭示政權之四權、治權之五權，各有統屬，各有作用。內容略以：「外國只有三權分立，我國為什麼要五權分立？其餘二權從什麼地方來的？這兩個權是中國固有東西。中國古時舉行考試及監察之獨立制度，像滿清之御史，唐朝的諫議大夫，都是很好監察制度。監察權就是彈劾權，外國現在也有這種權。不過放在立法機關之中，不能獨立成為一種治權。」、「外國實行立法權、司法權及行政權分立一百多年，還是不大完全，中國從前實行三權分立（司法、立法、行政三權由皇帝掌握；監察權及考試權獨立），更有很大流弊。現要集合中外精華，防止一切流弊，便要採用外國行政權、立法權、司法權，加入中國考試權、監察權，造成一個五權分立政府，才是世上最完全良善政府。」、「政權四權、治權五權，各有統屬，各有作用。」（國父全集編輯委員會編《國父全集》第1冊）</w:t>
      </w:r>
    </w:p>
  </w:footnote>
  <w:footnote w:id="38">
    <w:p w:rsidR="00684EAD" w:rsidRPr="00AB4D4D" w:rsidRDefault="00684EAD" w:rsidP="000D2A39">
      <w:pPr>
        <w:pStyle w:val="afd"/>
        <w:ind w:left="264" w:hangingChars="120" w:hanging="264"/>
      </w:pPr>
      <w:r w:rsidRPr="00AB4D4D">
        <w:rPr>
          <w:rStyle w:val="aff"/>
        </w:rPr>
        <w:footnoteRef/>
      </w:r>
      <w:r w:rsidRPr="00AB4D4D">
        <w:rPr>
          <w:rFonts w:hint="eastAsia"/>
        </w:rPr>
        <w:t xml:space="preserve"> 孫中山先生於西元1924年起草，經國民黨第1次全國代表大會審議後，於西元1924年4月12日公佈《國民政府建國大綱》，確定「五權憲法建設中華民國」。</w:t>
      </w:r>
    </w:p>
  </w:footnote>
  <w:footnote w:id="39">
    <w:p w:rsidR="00684EAD" w:rsidRPr="00AB4D4D" w:rsidRDefault="00684EAD" w:rsidP="003D4057">
      <w:pPr>
        <w:pStyle w:val="afd"/>
        <w:jc w:val="both"/>
      </w:pPr>
      <w:r w:rsidRPr="00AB4D4D">
        <w:rPr>
          <w:rStyle w:val="aff"/>
        </w:rPr>
        <w:footnoteRef/>
      </w:r>
      <w:r w:rsidRPr="00AB4D4D">
        <w:t xml:space="preserve"> </w:t>
      </w:r>
      <w:r w:rsidRPr="00AB4D4D">
        <w:rPr>
          <w:rFonts w:hint="eastAsia"/>
        </w:rPr>
        <w:t>「第四審查委員會」報告代表：</w:t>
      </w:r>
      <w:r w:rsidRPr="00AB4D4D">
        <w:rPr>
          <w:rFonts w:hint="eastAsia"/>
          <w:u w:val="single"/>
        </w:rPr>
        <w:t>江一平</w:t>
      </w:r>
      <w:r w:rsidRPr="00AB4D4D">
        <w:rPr>
          <w:rFonts w:hint="eastAsia"/>
        </w:rPr>
        <w:t>、</w:t>
      </w:r>
      <w:r w:rsidRPr="00AB4D4D">
        <w:rPr>
          <w:rFonts w:hint="eastAsia"/>
          <w:u w:val="single"/>
        </w:rPr>
        <w:t>水梓</w:t>
      </w:r>
      <w:r w:rsidRPr="00AB4D4D">
        <w:rPr>
          <w:rFonts w:hint="eastAsia"/>
        </w:rPr>
        <w:t>、</w:t>
      </w:r>
      <w:r w:rsidRPr="00AB4D4D">
        <w:rPr>
          <w:rFonts w:hint="eastAsia"/>
          <w:u w:val="single"/>
        </w:rPr>
        <w:t>李中襄</w:t>
      </w:r>
      <w:r w:rsidRPr="00AB4D4D">
        <w:rPr>
          <w:rFonts w:hint="eastAsia"/>
        </w:rPr>
        <w:t>。</w:t>
      </w:r>
    </w:p>
  </w:footnote>
  <w:footnote w:id="40">
    <w:p w:rsidR="00684EAD" w:rsidRPr="00AB4D4D" w:rsidRDefault="00684EAD" w:rsidP="003D4057">
      <w:pPr>
        <w:pStyle w:val="afd"/>
        <w:jc w:val="both"/>
      </w:pPr>
      <w:r w:rsidRPr="00AB4D4D">
        <w:rPr>
          <w:rStyle w:val="aff"/>
        </w:rPr>
        <w:footnoteRef/>
      </w:r>
      <w:r w:rsidRPr="00AB4D4D">
        <w:t xml:space="preserve"> </w:t>
      </w:r>
      <w:r w:rsidRPr="00AB4D4D">
        <w:rPr>
          <w:rFonts w:hint="eastAsia"/>
        </w:rPr>
        <w:t>參見，</w:t>
      </w:r>
      <w:r w:rsidRPr="00AB4D4D">
        <w:rPr>
          <w:rFonts w:ascii="新細明體" w:hAnsi="新細明體" w:hint="eastAsia"/>
        </w:rPr>
        <w:t>《國民大會實錄（總編）》，國</w:t>
      </w:r>
      <w:r w:rsidRPr="00AB4D4D">
        <w:rPr>
          <w:rFonts w:hint="eastAsia"/>
        </w:rPr>
        <w:t>民大會秘書處編印，35年12月。P445- P446。</w:t>
      </w:r>
    </w:p>
  </w:footnote>
  <w:footnote w:id="41">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樓桐孫</w:t>
      </w:r>
      <w:r w:rsidRPr="00AB4D4D">
        <w:rPr>
          <w:rFonts w:hAnsi="標楷體" w:hint="eastAsia"/>
        </w:rPr>
        <w:t>等</w:t>
      </w:r>
      <w:r w:rsidRPr="00AB4D4D">
        <w:rPr>
          <w:rFonts w:hAnsi="標楷體"/>
        </w:rPr>
        <w:t>23</w:t>
      </w:r>
      <w:r w:rsidRPr="00AB4D4D">
        <w:rPr>
          <w:rFonts w:hAnsi="標楷體" w:hint="eastAsia"/>
        </w:rPr>
        <w:t>人提草案第</w:t>
      </w:r>
      <w:r w:rsidRPr="00AB4D4D">
        <w:rPr>
          <w:rFonts w:hAnsi="標楷體"/>
        </w:rPr>
        <w:t>99</w:t>
      </w:r>
      <w:r w:rsidRPr="00AB4D4D">
        <w:rPr>
          <w:rFonts w:hAnsi="標楷體" w:hint="eastAsia"/>
        </w:rPr>
        <w:t>條「監察院依本憲法之規定行使同意權時由全院會議過半數之決議行之」之「全院會議」擬改為「全體監察委員」案（提案第</w:t>
      </w:r>
      <w:r w:rsidRPr="00AB4D4D">
        <w:rPr>
          <w:rFonts w:hAnsi="標楷體"/>
        </w:rPr>
        <w:t>105</w:t>
      </w:r>
      <w:r w:rsidRPr="00AB4D4D">
        <w:rPr>
          <w:rFonts w:hAnsi="標楷體" w:hint="eastAsia"/>
        </w:rPr>
        <w:t>號）。</w:t>
      </w:r>
      <w:r w:rsidRPr="00AB4D4D">
        <w:rPr>
          <w:rFonts w:hAnsi="標楷體" w:hint="eastAsia"/>
          <w:b/>
          <w:bCs/>
        </w:rPr>
        <w:t>【理由：】</w:t>
      </w:r>
      <w:r w:rsidRPr="00AB4D4D">
        <w:rPr>
          <w:rFonts w:hAnsi="標楷體" w:hint="eastAsia"/>
        </w:rPr>
        <w:t>「全院會議」所以別於「小組會議」而言，為一種程式上之用語，不足以表明到會委員之人數。若謂「全院會議」即係指全體監察委員到會之會議，不得有</w:t>
      </w:r>
      <w:r w:rsidRPr="00AB4D4D">
        <w:rPr>
          <w:rFonts w:hAnsi="標楷體"/>
        </w:rPr>
        <w:t>1</w:t>
      </w:r>
      <w:r w:rsidRPr="00AB4D4D">
        <w:rPr>
          <w:rFonts w:hAnsi="標楷體" w:hint="eastAsia"/>
        </w:rPr>
        <w:t>人缺席。則事實上甚難做到。故擬改如上。參見，《國民大會實錄（總編）》，國民大會秘書處編印，35年12月。P937。</w:t>
      </w:r>
    </w:p>
  </w:footnote>
  <w:footnote w:id="42">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高一涵</w:t>
      </w:r>
      <w:r w:rsidRPr="00AB4D4D">
        <w:rPr>
          <w:rFonts w:hAnsi="標楷體" w:hint="eastAsia"/>
        </w:rPr>
        <w:t>、</w:t>
      </w:r>
      <w:r w:rsidRPr="00AB4D4D">
        <w:rPr>
          <w:rFonts w:hAnsi="標楷體" w:hint="eastAsia"/>
          <w:u w:val="single"/>
        </w:rPr>
        <w:t>水梓</w:t>
      </w:r>
      <w:r w:rsidRPr="00AB4D4D">
        <w:rPr>
          <w:rFonts w:hAnsi="標楷體" w:hint="eastAsia"/>
        </w:rPr>
        <w:t>、</w:t>
      </w:r>
      <w:r w:rsidRPr="00AB4D4D">
        <w:rPr>
          <w:rFonts w:hAnsi="標楷體" w:hint="eastAsia"/>
          <w:u w:val="single"/>
        </w:rPr>
        <w:t>田炯錦</w:t>
      </w:r>
      <w:r w:rsidRPr="00AB4D4D">
        <w:rPr>
          <w:rFonts w:hAnsi="標楷體" w:hint="eastAsia"/>
        </w:rPr>
        <w:t>、</w:t>
      </w:r>
      <w:r w:rsidRPr="00AB4D4D">
        <w:rPr>
          <w:rFonts w:hAnsi="標楷體" w:hint="eastAsia"/>
          <w:u w:val="single"/>
        </w:rPr>
        <w:t>曹啟文</w:t>
      </w:r>
      <w:r w:rsidRPr="00AB4D4D">
        <w:rPr>
          <w:rFonts w:hAnsi="標楷體" w:hint="eastAsia"/>
        </w:rPr>
        <w:t>等</w:t>
      </w:r>
      <w:r w:rsidRPr="00AB4D4D">
        <w:rPr>
          <w:rFonts w:hAnsi="標楷體"/>
        </w:rPr>
        <w:t>193</w:t>
      </w:r>
      <w:r w:rsidRPr="00AB4D4D">
        <w:rPr>
          <w:rFonts w:hAnsi="標楷體" w:hint="eastAsia"/>
        </w:rPr>
        <w:t>人就憲草第</w:t>
      </w:r>
      <w:r w:rsidRPr="00AB4D4D">
        <w:rPr>
          <w:rFonts w:hAnsi="標楷體"/>
        </w:rPr>
        <w:t>9</w:t>
      </w:r>
      <w:r w:rsidRPr="00AB4D4D">
        <w:rPr>
          <w:rFonts w:hAnsi="標楷體" w:hint="eastAsia"/>
        </w:rPr>
        <w:t>章第</w:t>
      </w:r>
      <w:r w:rsidRPr="00AB4D4D">
        <w:rPr>
          <w:rFonts w:hAnsi="標楷體"/>
        </w:rPr>
        <w:t>95</w:t>
      </w:r>
      <w:r w:rsidRPr="00AB4D4D">
        <w:rPr>
          <w:rFonts w:hAnsi="標楷體" w:hint="eastAsia"/>
        </w:rPr>
        <w:t>條之修正案（提案第</w:t>
      </w:r>
      <w:r w:rsidRPr="00AB4D4D">
        <w:rPr>
          <w:rFonts w:hAnsi="標楷體"/>
        </w:rPr>
        <w:t>141</w:t>
      </w:r>
      <w:r w:rsidRPr="00AB4D4D">
        <w:rPr>
          <w:rFonts w:hAnsi="標楷體" w:hint="eastAsia"/>
        </w:rPr>
        <w:t>號）。第</w:t>
      </w:r>
      <w:r w:rsidRPr="00AB4D4D">
        <w:rPr>
          <w:rFonts w:hAnsi="標楷體"/>
        </w:rPr>
        <w:t>95</w:t>
      </w:r>
      <w:r w:rsidRPr="00AB4D4D">
        <w:rPr>
          <w:rFonts w:hAnsi="標楷體" w:hint="eastAsia"/>
        </w:rPr>
        <w:t>條原文「監察院為國家最高監察機關，行使同意、彈劾及</w:t>
      </w:r>
      <w:r w:rsidRPr="00AB4D4D">
        <w:rPr>
          <w:rFonts w:hAnsi="標楷體" w:hint="eastAsia"/>
          <w:u w:val="single"/>
        </w:rPr>
        <w:t>監察</w:t>
      </w:r>
      <w:r w:rsidRPr="00AB4D4D">
        <w:rPr>
          <w:rFonts w:hAnsi="標楷體" w:hint="eastAsia"/>
        </w:rPr>
        <w:t>權」，擬請修正為：「監察院為國家最高監察機關，行使彈劾、</w:t>
      </w:r>
      <w:r w:rsidRPr="00AB4D4D">
        <w:rPr>
          <w:rFonts w:hAnsi="標楷體" w:hint="eastAsia"/>
          <w:u w:val="single"/>
        </w:rPr>
        <w:t>糾舉</w:t>
      </w:r>
      <w:r w:rsidRPr="00AB4D4D">
        <w:rPr>
          <w:rFonts w:hAnsi="標楷體" w:hint="eastAsia"/>
        </w:rPr>
        <w:t>、懲戒及審計權，對國民大會負其責任。」</w:t>
      </w:r>
      <w:r w:rsidRPr="00AB4D4D">
        <w:rPr>
          <w:rFonts w:hAnsi="標楷體" w:hint="eastAsia"/>
          <w:b/>
          <w:bCs/>
        </w:rPr>
        <w:t>【理由：】</w:t>
      </w:r>
      <w:r w:rsidRPr="00AB4D4D">
        <w:rPr>
          <w:rFonts w:hAnsi="標楷體" w:hint="eastAsia"/>
        </w:rPr>
        <w:t>（一）、刪去</w:t>
      </w:r>
      <w:r w:rsidRPr="00AB4D4D">
        <w:rPr>
          <w:rFonts w:hAnsi="標楷體" w:hint="eastAsia"/>
          <w:b/>
          <w:bCs/>
        </w:rPr>
        <w:t>「同意權」</w:t>
      </w:r>
      <w:r w:rsidRPr="00AB4D4D">
        <w:rPr>
          <w:rFonts w:hAnsi="標楷體" w:hint="eastAsia"/>
        </w:rPr>
        <w:t>，因監察委員為執法之官，宜處於超然地位，如行使議會之同意權，易成為黨派鬥爭之工具，必影響於監察權之超然與獨立。＜附註：本草案第</w:t>
      </w:r>
      <w:r w:rsidRPr="00AB4D4D">
        <w:rPr>
          <w:rFonts w:hAnsi="標楷體"/>
        </w:rPr>
        <w:t>7</w:t>
      </w:r>
      <w:r w:rsidRPr="00AB4D4D">
        <w:rPr>
          <w:rFonts w:hAnsi="標楷體" w:hint="eastAsia"/>
        </w:rPr>
        <w:t>章第</w:t>
      </w:r>
      <w:r w:rsidRPr="00AB4D4D">
        <w:rPr>
          <w:rFonts w:hAnsi="標楷體"/>
        </w:rPr>
        <w:t>83</w:t>
      </w:r>
      <w:r w:rsidRPr="00AB4D4D">
        <w:rPr>
          <w:rFonts w:hAnsi="標楷體" w:hint="eastAsia"/>
        </w:rPr>
        <w:t>條，第</w:t>
      </w:r>
      <w:r w:rsidRPr="00AB4D4D">
        <w:rPr>
          <w:rFonts w:hAnsi="標楷體"/>
        </w:rPr>
        <w:t>8</w:t>
      </w:r>
      <w:r w:rsidRPr="00AB4D4D">
        <w:rPr>
          <w:rFonts w:hAnsi="標楷體" w:hint="eastAsia"/>
        </w:rPr>
        <w:t>章第</w:t>
      </w:r>
      <w:r w:rsidRPr="00AB4D4D">
        <w:rPr>
          <w:rFonts w:hAnsi="標楷體"/>
        </w:rPr>
        <w:t>89</w:t>
      </w:r>
      <w:r w:rsidRPr="00AB4D4D">
        <w:rPr>
          <w:rFonts w:hAnsi="標楷體" w:hint="eastAsia"/>
        </w:rPr>
        <w:t>條，第</w:t>
      </w:r>
      <w:r w:rsidRPr="00AB4D4D">
        <w:rPr>
          <w:rFonts w:hAnsi="標楷體"/>
        </w:rPr>
        <w:t>9</w:t>
      </w:r>
      <w:r w:rsidRPr="00AB4D4D">
        <w:rPr>
          <w:rFonts w:hAnsi="標楷體" w:hint="eastAsia"/>
        </w:rPr>
        <w:t>章第</w:t>
      </w:r>
      <w:r w:rsidRPr="00AB4D4D">
        <w:rPr>
          <w:rFonts w:hAnsi="標楷體"/>
        </w:rPr>
        <w:t>99</w:t>
      </w:r>
      <w:r w:rsidRPr="00AB4D4D">
        <w:rPr>
          <w:rFonts w:hAnsi="標楷體" w:hint="eastAsia"/>
        </w:rPr>
        <w:t>條，皆與同意權之行使有關，擬請予以修正或刪除。＞（二）、增加</w:t>
      </w:r>
      <w:r w:rsidRPr="00AB4D4D">
        <w:rPr>
          <w:rFonts w:hAnsi="標楷體" w:hint="eastAsia"/>
          <w:b/>
          <w:bCs/>
        </w:rPr>
        <w:t>「糾舉權</w:t>
      </w:r>
      <w:r w:rsidRPr="00AB4D4D">
        <w:rPr>
          <w:rFonts w:hAnsi="標楷體" w:hint="eastAsia"/>
        </w:rPr>
        <w:t>」，依照過去經驗，凡「糾舉案」皆逕交被糾舉人之主管機關或其上級機關，調查既甚便利，處置自更迅速。且各該機關平素對於被糾舉人，皆有監督權，故於迅速之中，兼寓審慎之意，此為監察院過去行使之實際經驗，故應仍予繼續行使。（三）、增加</w:t>
      </w:r>
      <w:r w:rsidRPr="00AB4D4D">
        <w:rPr>
          <w:rFonts w:hAnsi="標楷體" w:hint="eastAsia"/>
          <w:b/>
          <w:bCs/>
        </w:rPr>
        <w:t>「懲戒權」</w:t>
      </w:r>
      <w:r w:rsidRPr="00AB4D4D">
        <w:rPr>
          <w:rFonts w:hAnsi="標楷體" w:hint="eastAsia"/>
        </w:rPr>
        <w:t>。監察權離立法權獨立行使，為</w:t>
      </w:r>
      <w:r w:rsidRPr="00AB4D4D">
        <w:rPr>
          <w:rFonts w:hAnsi="標楷體" w:hint="eastAsia"/>
          <w:u w:val="single"/>
        </w:rPr>
        <w:t>孫中山</w:t>
      </w:r>
      <w:r w:rsidRPr="00AB4D4D">
        <w:rPr>
          <w:rFonts w:hAnsi="標楷體" w:hint="eastAsia"/>
        </w:rPr>
        <w:t>先生五權憲法所首揭，</w:t>
      </w:r>
      <w:r w:rsidRPr="00AB4D4D">
        <w:rPr>
          <w:rFonts w:hAnsi="標楷體" w:hint="eastAsia"/>
          <w:u w:val="single"/>
        </w:rPr>
        <w:t>孫</w:t>
      </w:r>
      <w:r w:rsidRPr="00AB4D4D">
        <w:rPr>
          <w:rFonts w:hAnsi="標楷體" w:hint="eastAsia"/>
        </w:rPr>
        <w:t>先生有云：「裁判人民的機關已經獨立，裁判官吏的機關，卻仍在別的機關之下，這也是論理上說不去的，故此機關也要獨立。」所謂裁判官吏的機關，當不僅指</w:t>
      </w:r>
      <w:r w:rsidRPr="00AB4D4D">
        <w:rPr>
          <w:rFonts w:hAnsi="標楷體" w:hint="eastAsia"/>
          <w:b/>
          <w:bCs/>
          <w:u w:val="single"/>
        </w:rPr>
        <w:t>提彈劾案</w:t>
      </w:r>
      <w:r w:rsidRPr="00AB4D4D">
        <w:rPr>
          <w:rFonts w:hAnsi="標楷體" w:hint="eastAsia"/>
        </w:rPr>
        <w:t>而言，亦必包括</w:t>
      </w:r>
      <w:r w:rsidRPr="00AB4D4D">
        <w:rPr>
          <w:rFonts w:hAnsi="標楷體" w:hint="eastAsia"/>
          <w:b/>
          <w:bCs/>
          <w:u w:val="single"/>
        </w:rPr>
        <w:t>彈劾案之審理</w:t>
      </w:r>
      <w:r w:rsidRPr="00AB4D4D">
        <w:rPr>
          <w:rFonts w:hAnsi="標楷體" w:hint="eastAsia"/>
        </w:rPr>
        <w:t>。故依五權憲法創始人之原意，「懲戒權」應屬諸監察院。查歐洲許多國家都在普通法院以外，另設一種裁判所，去專理行政訴訟，一概不由普通法院受理，祇由行政裁判所受理。他們的理由，就是以為行政上的裁判，要有行政上的智識與經驗，這並不是普遍法院所能勝任的，故行政審判，既不歸普通法院，亦不歸行政機關，而另設行政裁判所，以掌其事。</w:t>
      </w:r>
      <w:r w:rsidRPr="00AB4D4D">
        <w:rPr>
          <w:rFonts w:hAnsi="標楷體" w:hint="eastAsia"/>
          <w:b/>
          <w:bCs/>
          <w:u w:val="single"/>
        </w:rPr>
        <w:t>彈劾案之審理</w:t>
      </w:r>
      <w:r w:rsidRPr="00AB4D4D">
        <w:rPr>
          <w:rFonts w:hAnsi="標楷體" w:hint="eastAsia"/>
        </w:rPr>
        <w:t>亦與法院之普通審判不同，主其事者不專靠法律的智識與經驗，還要靠行政的智識與經驗。由此可見</w:t>
      </w:r>
      <w:r w:rsidRPr="00AB4D4D">
        <w:rPr>
          <w:rFonts w:hAnsi="標楷體" w:hint="eastAsia"/>
          <w:b/>
          <w:bCs/>
          <w:u w:val="single"/>
        </w:rPr>
        <w:t>彈劾案之審判</w:t>
      </w:r>
      <w:r w:rsidRPr="00AB4D4D">
        <w:rPr>
          <w:rFonts w:hAnsi="標楷體" w:hint="eastAsia"/>
        </w:rPr>
        <w:t>為特種審判。如軍事審判與行政訴訟應歸軍事法庭及行政裁判所審理，而不應歸普遍法院。在三權制下，</w:t>
      </w:r>
      <w:r w:rsidRPr="00AB4D4D">
        <w:rPr>
          <w:rFonts w:hAnsi="標楷體" w:hint="eastAsia"/>
          <w:b/>
          <w:bCs/>
          <w:u w:val="single"/>
        </w:rPr>
        <w:t>彈劾案之審判機關</w:t>
      </w:r>
      <w:r w:rsidRPr="00AB4D4D">
        <w:rPr>
          <w:rFonts w:hAnsi="標楷體" w:hint="eastAsia"/>
        </w:rPr>
        <w:t>，應隸屬何部門，在學理上固成問題。在五權制下，其應屬諸專司監察之院，當無疑義。又查在政治上欲求效率增強，必須權責分明，凡負某種責任者，應有完成其責任之權力，方能期其有所成就。監察院為全國最高監察機關，吏治之澄清，貪污之清除，一般人都認為係監察院責任。</w:t>
      </w:r>
      <w:r w:rsidRPr="00AB4D4D">
        <w:rPr>
          <w:rFonts w:hAnsi="標楷體"/>
        </w:rPr>
        <w:t>10</w:t>
      </w:r>
      <w:r w:rsidRPr="00AB4D4D">
        <w:rPr>
          <w:rFonts w:hAnsi="標楷體" w:hint="eastAsia"/>
        </w:rPr>
        <w:t>餘年來，凡有貪污舞弊情事暴露，國人均責望監察院有所糾正。但因「懲戒權」不歸監察院行使，故雖負澄清吏治之責任，而無權以完成任務，往往「</w:t>
      </w:r>
      <w:r w:rsidRPr="00AB4D4D">
        <w:rPr>
          <w:rFonts w:hAnsi="標楷體" w:hint="eastAsia"/>
          <w:b/>
          <w:bCs/>
          <w:iCs/>
          <w:u w:val="single"/>
        </w:rPr>
        <w:t>彈劾案</w:t>
      </w:r>
      <w:r w:rsidRPr="00AB4D4D">
        <w:rPr>
          <w:rFonts w:hAnsi="標楷體" w:hint="eastAsia"/>
        </w:rPr>
        <w:t>」審查成立移付懲戒後，迄無下文，甚至懲戒處分雖經確定，而懲戒機關之上級機關，為之請准暫緩執行。故監察院對懲治貪污，實係有責任而無權力。管理懲戒之部門，又係有權力而無責任。欲免除此種弊病，當使懲戒機關隸屬監察院，以一事權而專責成。（四）、增加</w:t>
      </w:r>
      <w:r w:rsidRPr="00AB4D4D">
        <w:rPr>
          <w:rFonts w:hAnsi="標楷體" w:hint="eastAsia"/>
          <w:b/>
          <w:bCs/>
        </w:rPr>
        <w:t>「審計權」</w:t>
      </w:r>
      <w:r w:rsidRPr="00AB4D4D">
        <w:rPr>
          <w:rFonts w:hAnsi="標楷體" w:hint="eastAsia"/>
        </w:rPr>
        <w:t>，三權分立國家皆無監察機關之設置，故</w:t>
      </w:r>
      <w:r w:rsidRPr="00AB4D4D">
        <w:rPr>
          <w:rFonts w:hAnsi="標楷體" w:hint="eastAsia"/>
          <w:b/>
          <w:bCs/>
        </w:rPr>
        <w:t>「審計權」</w:t>
      </w:r>
      <w:r w:rsidRPr="00AB4D4D">
        <w:rPr>
          <w:rFonts w:hAnsi="標楷體" w:hint="eastAsia"/>
        </w:rPr>
        <w:t>逕由國會行使者。本草案既採取五院制，自應仍照中國歷史上成例，由監察院行使。良以審計職權不以審查決算為限，尤其重要者，則在監督預算之執行，此中如核簽收支命令，審核計算與稽察財務上不法，或不忠職務行為，皆係執行性質，而為構成「監察權」之主要部分。故自應主張審查決算權歸立法院，而</w:t>
      </w:r>
      <w:r w:rsidRPr="00AB4D4D">
        <w:rPr>
          <w:rFonts w:hAnsi="標楷體" w:hint="eastAsia"/>
          <w:b/>
          <w:bCs/>
        </w:rPr>
        <w:t>「審計權」</w:t>
      </w:r>
      <w:r w:rsidRPr="00AB4D4D">
        <w:rPr>
          <w:rFonts w:hAnsi="標楷體" w:hint="eastAsia"/>
        </w:rPr>
        <w:t>則仍劃歸監察院。（五）、因</w:t>
      </w:r>
      <w:r w:rsidRPr="00AB4D4D">
        <w:rPr>
          <w:rFonts w:hAnsi="標楷體" w:hint="eastAsia"/>
          <w:b/>
          <w:bCs/>
        </w:rPr>
        <w:t>「監察權」</w:t>
      </w:r>
      <w:r w:rsidRPr="00AB4D4D">
        <w:rPr>
          <w:rFonts w:hAnsi="標楷體" w:hint="eastAsia"/>
        </w:rPr>
        <w:t>既已列舉規定，而為概括名辭之</w:t>
      </w:r>
      <w:r w:rsidRPr="00AB4D4D">
        <w:rPr>
          <w:rFonts w:hAnsi="標楷體" w:hint="eastAsia"/>
          <w:b/>
          <w:bCs/>
        </w:rPr>
        <w:t>「監察權」</w:t>
      </w:r>
      <w:r w:rsidRPr="00AB4D4D">
        <w:rPr>
          <w:rFonts w:hAnsi="標楷體"/>
        </w:rPr>
        <w:t>3</w:t>
      </w:r>
      <w:r w:rsidRPr="00AB4D4D">
        <w:rPr>
          <w:rFonts w:hAnsi="標楷體" w:hint="eastAsia"/>
        </w:rPr>
        <w:t>字，自當刪去。以上是否有當，敬請公決。參見，《國民大會實錄（總編）》，國民大會秘書處編印，35年12月。P991- P992。</w:t>
      </w:r>
    </w:p>
  </w:footnote>
  <w:footnote w:id="43">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陳克文</w:t>
      </w:r>
      <w:r w:rsidRPr="00AB4D4D">
        <w:rPr>
          <w:rFonts w:hAnsi="標楷體" w:hint="eastAsia"/>
        </w:rPr>
        <w:t>等</w:t>
      </w:r>
      <w:r w:rsidRPr="00AB4D4D">
        <w:rPr>
          <w:rFonts w:hAnsi="標楷體"/>
        </w:rPr>
        <w:t>41</w:t>
      </w:r>
      <w:r w:rsidRPr="00AB4D4D">
        <w:rPr>
          <w:rFonts w:hAnsi="標楷體" w:hint="eastAsia"/>
        </w:rPr>
        <w:t>人提對中華民國憲法草案提出下列修正案（提案第</w:t>
      </w:r>
      <w:r w:rsidRPr="00AB4D4D">
        <w:rPr>
          <w:rFonts w:hAnsi="標楷體"/>
        </w:rPr>
        <w:t>397</w:t>
      </w:r>
      <w:r w:rsidRPr="00AB4D4D">
        <w:rPr>
          <w:rFonts w:hAnsi="標楷體" w:hint="eastAsia"/>
        </w:rPr>
        <w:t>號）（六）原第</w:t>
      </w:r>
      <w:r w:rsidRPr="00AB4D4D">
        <w:rPr>
          <w:rFonts w:hAnsi="標楷體"/>
        </w:rPr>
        <w:t>27</w:t>
      </w:r>
      <w:r w:rsidRPr="00AB4D4D">
        <w:rPr>
          <w:rFonts w:hAnsi="標楷體" w:hint="eastAsia"/>
        </w:rPr>
        <w:t>條第</w:t>
      </w:r>
      <w:r w:rsidRPr="00AB4D4D">
        <w:rPr>
          <w:rFonts w:hAnsi="標楷體"/>
        </w:rPr>
        <w:t>2</w:t>
      </w:r>
      <w:r w:rsidRPr="00AB4D4D">
        <w:rPr>
          <w:rFonts w:hAnsi="標楷體" w:hint="eastAsia"/>
        </w:rPr>
        <w:t>款後應增一項「選舉及罷免監察委員」【說明】：為增加監察院之超然性質及國民大會之職權，本案主張監察委員由國民大會選出，但不為國民大會之組成分子，故修正如上。（十）原第</w:t>
      </w:r>
      <w:r w:rsidRPr="00AB4D4D">
        <w:rPr>
          <w:rFonts w:hAnsi="標楷體"/>
        </w:rPr>
        <w:t>86</w:t>
      </w:r>
      <w:r w:rsidRPr="00AB4D4D">
        <w:rPr>
          <w:rFonts w:hAnsi="標楷體" w:hint="eastAsia"/>
        </w:rPr>
        <w:t>條司法院大法官由總統提名「經監察院同意任命之」改為「經立法院同意任命之」</w:t>
      </w:r>
      <w:r w:rsidRPr="00AB4D4D">
        <w:rPr>
          <w:rFonts w:hAnsi="標楷體" w:hint="eastAsia"/>
          <w:b/>
          <w:bCs/>
        </w:rPr>
        <w:t>【說明】：</w:t>
      </w:r>
      <w:r w:rsidRPr="00AB4D4D">
        <w:rPr>
          <w:rFonts w:hAnsi="標楷體" w:hint="eastAsia"/>
        </w:rPr>
        <w:t>為使監察院專門發揮糾彈之效，本案主張將同意權一齊歸於立法院，故修正上。（十二）原第</w:t>
      </w:r>
      <w:r w:rsidRPr="00AB4D4D">
        <w:rPr>
          <w:rFonts w:hAnsi="標楷體"/>
        </w:rPr>
        <w:t>89</w:t>
      </w:r>
      <w:r w:rsidRPr="00AB4D4D">
        <w:rPr>
          <w:rFonts w:hAnsi="標楷體" w:hint="eastAsia"/>
        </w:rPr>
        <w:t>條考試委員由總統提名「經監察院同意任命之」改為「經立法院同意任命之」。（十四）原第</w:t>
      </w:r>
      <w:r w:rsidRPr="00AB4D4D">
        <w:rPr>
          <w:rFonts w:hAnsi="標楷體"/>
        </w:rPr>
        <w:t>95</w:t>
      </w:r>
      <w:r w:rsidRPr="00AB4D4D">
        <w:rPr>
          <w:rFonts w:hAnsi="標楷體" w:hint="eastAsia"/>
        </w:rPr>
        <w:t>條監察院行使「同意彈劾及監察權」修正為行使「</w:t>
      </w:r>
      <w:r w:rsidRPr="00AB4D4D">
        <w:rPr>
          <w:rFonts w:hAnsi="標楷體" w:hint="eastAsia"/>
          <w:b/>
          <w:bCs/>
          <w:iCs/>
        </w:rPr>
        <w:t>彈劾</w:t>
      </w:r>
      <w:r w:rsidRPr="00AB4D4D">
        <w:rPr>
          <w:rFonts w:hAnsi="標楷體" w:hint="eastAsia"/>
        </w:rPr>
        <w:t>及監察權」</w:t>
      </w:r>
      <w:r w:rsidRPr="00AB4D4D">
        <w:rPr>
          <w:rFonts w:hAnsi="標楷體" w:hint="eastAsia"/>
          <w:b/>
          <w:bCs/>
        </w:rPr>
        <w:t>【說明】：</w:t>
      </w:r>
      <w:r w:rsidRPr="00AB4D4D">
        <w:rPr>
          <w:rFonts w:hAnsi="標楷體" w:hint="eastAsia"/>
        </w:rPr>
        <w:t>監察院之機能為監督官吏之違法失職，故不宜兼有同意權。（十五）原第</w:t>
      </w:r>
      <w:r w:rsidRPr="00AB4D4D">
        <w:rPr>
          <w:rFonts w:hAnsi="標楷體"/>
        </w:rPr>
        <w:t>96</w:t>
      </w:r>
      <w:r w:rsidRPr="00AB4D4D">
        <w:rPr>
          <w:rFonts w:hAnsi="標楷體" w:hint="eastAsia"/>
        </w:rPr>
        <w:t>條監察委員「由各省市議會蒙古及西藏地方議會選舉之」應修正為「由國民大會選舉之」</w:t>
      </w:r>
      <w:r w:rsidRPr="00AB4D4D">
        <w:rPr>
          <w:rFonts w:hAnsi="標楷體" w:hint="eastAsia"/>
          <w:b/>
          <w:bCs/>
        </w:rPr>
        <w:t>【說明】：</w:t>
      </w:r>
      <w:r w:rsidRPr="00AB4D4D">
        <w:rPr>
          <w:rFonts w:hAnsi="標楷體" w:hint="eastAsia"/>
        </w:rPr>
        <w:t>見前。（十七）原第</w:t>
      </w:r>
      <w:r w:rsidRPr="00AB4D4D">
        <w:rPr>
          <w:rFonts w:hAnsi="標楷體"/>
        </w:rPr>
        <w:t>103</w:t>
      </w:r>
      <w:r w:rsidRPr="00AB4D4D">
        <w:rPr>
          <w:rFonts w:hAnsi="標楷體" w:hint="eastAsia"/>
        </w:rPr>
        <w:t>條彈劾案須經監察委員「</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人以上之審查及決定，始得提出送由懲戒機關依法辦理。」應修正為：「</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人以上之審查，全體監察委員出席過半數之決定，其關於行政處分，送交行政機關執行，刑事處分，送由司法機關辦理。」。參見，《國民大會實錄（總編）》，國民大會秘書處編印，35年12月。P1323- P1324。</w:t>
      </w:r>
    </w:p>
  </w:footnote>
  <w:footnote w:id="44">
    <w:p w:rsidR="00684EAD" w:rsidRPr="00AB4D4D" w:rsidRDefault="00684EAD" w:rsidP="000D2A39">
      <w:pPr>
        <w:pStyle w:val="afd"/>
        <w:ind w:left="264" w:hangingChars="120" w:hanging="264"/>
        <w:jc w:val="both"/>
        <w:rPr>
          <w:rFonts w:hAnsi="標楷體"/>
        </w:rPr>
      </w:pPr>
      <w:r w:rsidRPr="00AB4D4D">
        <w:rPr>
          <w:rStyle w:val="aff"/>
        </w:rPr>
        <w:footnoteRef/>
      </w:r>
      <w:r w:rsidRPr="00AB4D4D">
        <w:t xml:space="preserve"> </w:t>
      </w:r>
      <w:r w:rsidRPr="00AB4D4D">
        <w:rPr>
          <w:rFonts w:hAnsi="標楷體" w:hint="eastAsia"/>
        </w:rPr>
        <w:t>代表</w:t>
      </w:r>
      <w:r w:rsidRPr="00AB4D4D">
        <w:rPr>
          <w:rFonts w:hAnsi="標楷體" w:hint="eastAsia"/>
          <w:u w:val="single"/>
        </w:rPr>
        <w:t>高一涵</w:t>
      </w:r>
      <w:r w:rsidRPr="00AB4D4D">
        <w:rPr>
          <w:rFonts w:hAnsi="標楷體" w:hint="eastAsia"/>
        </w:rPr>
        <w:t>、</w:t>
      </w:r>
      <w:r w:rsidRPr="00AB4D4D">
        <w:rPr>
          <w:rFonts w:hAnsi="標楷體" w:hint="eastAsia"/>
          <w:u w:val="single"/>
        </w:rPr>
        <w:t>水梓</w:t>
      </w:r>
      <w:r w:rsidRPr="00AB4D4D">
        <w:rPr>
          <w:rFonts w:hAnsi="標楷體" w:hint="eastAsia"/>
        </w:rPr>
        <w:t>、</w:t>
      </w:r>
      <w:r w:rsidRPr="00AB4D4D">
        <w:rPr>
          <w:rFonts w:hAnsi="標楷體" w:hint="eastAsia"/>
          <w:u w:val="single"/>
        </w:rPr>
        <w:t>田炯錦</w:t>
      </w:r>
      <w:r w:rsidRPr="00AB4D4D">
        <w:rPr>
          <w:rFonts w:hAnsi="標楷體" w:hint="eastAsia"/>
        </w:rPr>
        <w:t>、</w:t>
      </w:r>
      <w:r w:rsidRPr="00AB4D4D">
        <w:rPr>
          <w:rFonts w:hAnsi="標楷體" w:hint="eastAsia"/>
          <w:u w:val="single"/>
        </w:rPr>
        <w:t>曹啟文</w:t>
      </w:r>
      <w:r w:rsidRPr="00AB4D4D">
        <w:rPr>
          <w:rFonts w:hAnsi="標楷體" w:hint="eastAsia"/>
        </w:rPr>
        <w:t>等</w:t>
      </w:r>
      <w:r w:rsidRPr="00AB4D4D">
        <w:rPr>
          <w:rFonts w:hAnsi="標楷體"/>
        </w:rPr>
        <w:t>193</w:t>
      </w:r>
      <w:r w:rsidRPr="00AB4D4D">
        <w:rPr>
          <w:rFonts w:hAnsi="標楷體" w:hint="eastAsia"/>
        </w:rPr>
        <w:t>人就憲草第</w:t>
      </w:r>
      <w:r w:rsidRPr="00AB4D4D">
        <w:rPr>
          <w:rFonts w:hAnsi="標楷體"/>
        </w:rPr>
        <w:t>9</w:t>
      </w:r>
      <w:r w:rsidRPr="00AB4D4D">
        <w:rPr>
          <w:rFonts w:hAnsi="標楷體" w:hint="eastAsia"/>
        </w:rPr>
        <w:t>章第</w:t>
      </w:r>
      <w:r w:rsidRPr="00AB4D4D">
        <w:rPr>
          <w:rFonts w:hAnsi="標楷體"/>
        </w:rPr>
        <w:t>95</w:t>
      </w:r>
      <w:r w:rsidRPr="00AB4D4D">
        <w:rPr>
          <w:rFonts w:hAnsi="標楷體" w:hint="eastAsia"/>
        </w:rPr>
        <w:t>條之修正案（提案第</w:t>
      </w:r>
      <w:r w:rsidRPr="00AB4D4D">
        <w:rPr>
          <w:rFonts w:hAnsi="標楷體"/>
        </w:rPr>
        <w:t>141</w:t>
      </w:r>
      <w:r w:rsidRPr="00AB4D4D">
        <w:rPr>
          <w:rFonts w:hAnsi="標楷體" w:hint="eastAsia"/>
        </w:rPr>
        <w:t>號）。第</w:t>
      </w:r>
      <w:r w:rsidRPr="00AB4D4D">
        <w:rPr>
          <w:rFonts w:hAnsi="標楷體"/>
        </w:rPr>
        <w:t>95</w:t>
      </w:r>
      <w:r w:rsidRPr="00AB4D4D">
        <w:rPr>
          <w:rFonts w:hAnsi="標楷體" w:hint="eastAsia"/>
        </w:rPr>
        <w:t>條原文「監察院為國家最高監察機關，行使同意、彈劾及</w:t>
      </w:r>
      <w:r w:rsidRPr="00AB4D4D">
        <w:rPr>
          <w:rFonts w:hAnsi="標楷體" w:hint="eastAsia"/>
          <w:u w:val="single"/>
        </w:rPr>
        <w:t>監察</w:t>
      </w:r>
      <w:r w:rsidRPr="00AB4D4D">
        <w:rPr>
          <w:rFonts w:hAnsi="標楷體" w:hint="eastAsia"/>
        </w:rPr>
        <w:t>權」，擬請修正為：「監察院為國家最高監察機關，行使彈劾、</w:t>
      </w:r>
      <w:r w:rsidRPr="00AB4D4D">
        <w:rPr>
          <w:rFonts w:hAnsi="標楷體" w:hint="eastAsia"/>
          <w:u w:val="single"/>
        </w:rPr>
        <w:t>糾舉</w:t>
      </w:r>
      <w:r w:rsidRPr="00AB4D4D">
        <w:rPr>
          <w:rFonts w:hAnsi="標楷體" w:hint="eastAsia"/>
        </w:rPr>
        <w:t>、懲戒及審計權，對國民大會負其責任。」</w:t>
      </w:r>
      <w:r w:rsidRPr="00AB4D4D">
        <w:rPr>
          <w:rFonts w:hAnsi="標楷體" w:hint="eastAsia"/>
          <w:b/>
          <w:bCs/>
        </w:rPr>
        <w:t>【理由：】</w:t>
      </w:r>
      <w:r w:rsidRPr="00AB4D4D">
        <w:rPr>
          <w:rFonts w:hAnsi="標楷體" w:hint="eastAsia"/>
        </w:rPr>
        <w:t>（三）、增加</w:t>
      </w:r>
      <w:r w:rsidRPr="00AB4D4D">
        <w:rPr>
          <w:rFonts w:hAnsi="標楷體" w:hint="eastAsia"/>
          <w:b/>
          <w:bCs/>
        </w:rPr>
        <w:t>「懲戒權」</w:t>
      </w:r>
      <w:r w:rsidRPr="00AB4D4D">
        <w:rPr>
          <w:rFonts w:hAnsi="標楷體" w:hint="eastAsia"/>
        </w:rPr>
        <w:t>。監察權離立法權獨立行使，為</w:t>
      </w:r>
      <w:r w:rsidRPr="00AB4D4D">
        <w:rPr>
          <w:rFonts w:hAnsi="標楷體" w:hint="eastAsia"/>
          <w:u w:val="single"/>
        </w:rPr>
        <w:t>孫中山</w:t>
      </w:r>
      <w:r w:rsidRPr="00AB4D4D">
        <w:rPr>
          <w:rFonts w:hAnsi="標楷體" w:hint="eastAsia"/>
        </w:rPr>
        <w:t>先生五權憲法所首揭，</w:t>
      </w:r>
      <w:r w:rsidRPr="00AB4D4D">
        <w:rPr>
          <w:rFonts w:hAnsi="標楷體" w:hint="eastAsia"/>
          <w:u w:val="single"/>
        </w:rPr>
        <w:t>孫</w:t>
      </w:r>
      <w:r w:rsidRPr="00AB4D4D">
        <w:rPr>
          <w:rFonts w:hAnsi="標楷體" w:hint="eastAsia"/>
        </w:rPr>
        <w:t>先生有云：「裁判人民的機關已經獨立，裁判官吏的機關，卻仍在別的機關之下，這也是論理上說不去的，故此機關也要獨立。」所謂裁判官吏的機關，當不僅指</w:t>
      </w:r>
      <w:r w:rsidRPr="00AB4D4D">
        <w:rPr>
          <w:rFonts w:hAnsi="標楷體" w:hint="eastAsia"/>
          <w:b/>
          <w:bCs/>
          <w:u w:val="single"/>
        </w:rPr>
        <w:t>提</w:t>
      </w:r>
      <w:r w:rsidRPr="00AB4D4D">
        <w:rPr>
          <w:rFonts w:hAnsi="標楷體" w:hint="eastAsia"/>
          <w:b/>
          <w:bCs/>
          <w:iCs/>
          <w:u w:val="single"/>
        </w:rPr>
        <w:t>彈劾案</w:t>
      </w:r>
      <w:r w:rsidRPr="00AB4D4D">
        <w:rPr>
          <w:rFonts w:hAnsi="標楷體" w:hint="eastAsia"/>
        </w:rPr>
        <w:t>而言，亦必包括</w:t>
      </w:r>
      <w:r w:rsidRPr="00AB4D4D">
        <w:rPr>
          <w:rFonts w:hAnsi="標楷體" w:hint="eastAsia"/>
          <w:b/>
          <w:bCs/>
          <w:iCs/>
          <w:u w:val="single"/>
        </w:rPr>
        <w:t>彈劾案之審理</w:t>
      </w:r>
      <w:r w:rsidRPr="00AB4D4D">
        <w:rPr>
          <w:rFonts w:hAnsi="標楷體" w:hint="eastAsia"/>
        </w:rPr>
        <w:t>。故依五權憲法創始人之原意，「懲戒權」應屬諸監察院。查歐洲許多國家都在普通法院以外，另設一種裁判所，去專理行政訴訟，一概不由普通法院受理，祇由行政裁判所受理。他們的理由，就是以為行政上的裁判，要有行政上的智識與經驗，這並不是普遍法院所能勝任的，故行政審判，既不歸普通法院，亦不歸行政機關，而另設行政裁判所，以掌其事。</w:t>
      </w:r>
      <w:r w:rsidRPr="00AB4D4D">
        <w:rPr>
          <w:rFonts w:hAnsi="標楷體" w:hint="eastAsia"/>
          <w:b/>
          <w:bCs/>
          <w:iCs/>
          <w:u w:val="single"/>
        </w:rPr>
        <w:t>彈劾案之審理</w:t>
      </w:r>
      <w:r w:rsidRPr="00AB4D4D">
        <w:rPr>
          <w:rFonts w:hAnsi="標楷體" w:hint="eastAsia"/>
        </w:rPr>
        <w:t>亦與法院之普通審判不同，主其事者不專靠法律的智識與經驗，還要靠行政的智識與經驗。由此可見</w:t>
      </w:r>
      <w:r w:rsidRPr="00AB4D4D">
        <w:rPr>
          <w:rFonts w:hAnsi="標楷體" w:hint="eastAsia"/>
          <w:b/>
          <w:bCs/>
          <w:iCs/>
          <w:u w:val="single"/>
        </w:rPr>
        <w:t>彈劾案之審判</w:t>
      </w:r>
      <w:r w:rsidRPr="00AB4D4D">
        <w:rPr>
          <w:rFonts w:hAnsi="標楷體" w:hint="eastAsia"/>
        </w:rPr>
        <w:t>為特種審判。如軍事審判與行政訴訟應歸軍事法庭及行政裁判所審理，而不應歸普遍法院。在三權制下，</w:t>
      </w:r>
      <w:r w:rsidRPr="00AB4D4D">
        <w:rPr>
          <w:rFonts w:hAnsi="標楷體" w:hint="eastAsia"/>
          <w:b/>
          <w:bCs/>
          <w:iCs/>
          <w:u w:val="single"/>
        </w:rPr>
        <w:t>彈劾案之審判機關</w:t>
      </w:r>
      <w:r w:rsidRPr="00AB4D4D">
        <w:rPr>
          <w:rFonts w:hAnsi="標楷體" w:hint="eastAsia"/>
        </w:rPr>
        <w:t>，應隸屬何部門，在學理上固成問題。在五權制下，其應屬諸專司監察之院，當無疑義。又查在政治上欲求效率增強，必須權責分明，凡負某種責任者，應有完成其責任之權力，方能期其有所成就。監察院為全國最高監察機關，吏治之澄清，貪污之清除，一般人都認為係監察院責任。</w:t>
      </w:r>
      <w:r w:rsidRPr="00AB4D4D">
        <w:rPr>
          <w:rFonts w:hAnsi="標楷體"/>
        </w:rPr>
        <w:t>10</w:t>
      </w:r>
      <w:r w:rsidRPr="00AB4D4D">
        <w:rPr>
          <w:rFonts w:hAnsi="標楷體" w:hint="eastAsia"/>
        </w:rPr>
        <w:t>餘年來，凡有貪污舞弊情事暴露，國人均責望監察院有所糾正。但因「懲戒權」不歸監察院行使，故雖負澄清吏治之責任，而無權以完成任務，往往「</w:t>
      </w:r>
      <w:r w:rsidRPr="00AB4D4D">
        <w:rPr>
          <w:rFonts w:hAnsi="標楷體" w:hint="eastAsia"/>
          <w:b/>
          <w:bCs/>
          <w:iCs/>
        </w:rPr>
        <w:t>彈劾案</w:t>
      </w:r>
      <w:r w:rsidRPr="00AB4D4D">
        <w:rPr>
          <w:rFonts w:hAnsi="標楷體" w:hint="eastAsia"/>
        </w:rPr>
        <w:t>」審查成立移付懲戒後，迄無下文，甚至懲戒處分雖經確定，而懲戒機關之上級機關，為之請准暫緩執行。故監察院對懲治貪污，實係有責任而無權力。管理懲戒之部門，又係有權力而無責任。欲免除此種弊病，當使懲戒機關隸屬監察院，以一事權而專責成。參見，《國民大會實錄（總編）》，國民大會秘書處編印，35年12月。P991- P992。</w:t>
      </w:r>
    </w:p>
  </w:footnote>
  <w:footnote w:id="45">
    <w:p w:rsidR="00684EAD" w:rsidRPr="00AB4D4D" w:rsidRDefault="00684EAD" w:rsidP="000D2A39">
      <w:pPr>
        <w:pStyle w:val="afd"/>
        <w:ind w:left="264" w:hangingChars="120" w:hanging="264"/>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陳克文</w:t>
      </w:r>
      <w:r w:rsidRPr="00AB4D4D">
        <w:rPr>
          <w:rFonts w:hAnsi="標楷體" w:hint="eastAsia"/>
        </w:rPr>
        <w:t>等</w:t>
      </w:r>
      <w:r w:rsidRPr="00AB4D4D">
        <w:rPr>
          <w:rFonts w:hAnsi="標楷體"/>
        </w:rPr>
        <w:t>41</w:t>
      </w:r>
      <w:r w:rsidRPr="00AB4D4D">
        <w:rPr>
          <w:rFonts w:hAnsi="標楷體" w:hint="eastAsia"/>
        </w:rPr>
        <w:t>人提對中華民國憲法草案提出下列修正案（提案第</w:t>
      </w:r>
      <w:r w:rsidRPr="00AB4D4D">
        <w:rPr>
          <w:rFonts w:hAnsi="標楷體"/>
        </w:rPr>
        <w:t>397</w:t>
      </w:r>
      <w:r w:rsidRPr="00AB4D4D">
        <w:rPr>
          <w:rFonts w:hAnsi="標楷體" w:hint="eastAsia"/>
        </w:rPr>
        <w:t>號）（十四）原第</w:t>
      </w:r>
      <w:r w:rsidRPr="00AB4D4D">
        <w:rPr>
          <w:rFonts w:hAnsi="標楷體"/>
        </w:rPr>
        <w:t>95</w:t>
      </w:r>
      <w:r w:rsidRPr="00AB4D4D">
        <w:rPr>
          <w:rFonts w:hAnsi="標楷體" w:hint="eastAsia"/>
        </w:rPr>
        <w:t>條監察院行使「同意彈劾及監察權」修正為行使「</w:t>
      </w:r>
      <w:r w:rsidRPr="00AB4D4D">
        <w:rPr>
          <w:rFonts w:hAnsi="標楷體" w:hint="eastAsia"/>
          <w:b/>
          <w:bCs/>
          <w:iCs/>
        </w:rPr>
        <w:t>彈劾</w:t>
      </w:r>
      <w:r w:rsidRPr="00AB4D4D">
        <w:rPr>
          <w:rFonts w:hAnsi="標楷體" w:hint="eastAsia"/>
        </w:rPr>
        <w:t>及監察權」</w:t>
      </w:r>
      <w:r w:rsidRPr="00AB4D4D">
        <w:rPr>
          <w:rFonts w:hAnsi="標楷體" w:hint="eastAsia"/>
          <w:b/>
          <w:bCs/>
        </w:rPr>
        <w:t>【說明】：</w:t>
      </w:r>
      <w:r w:rsidRPr="00AB4D4D">
        <w:rPr>
          <w:rFonts w:hAnsi="標楷體" w:hint="eastAsia"/>
        </w:rPr>
        <w:t>監察院之機能為監督官吏之違法失職，故不宜兼有同意權。（十五）原第</w:t>
      </w:r>
      <w:r w:rsidRPr="00AB4D4D">
        <w:rPr>
          <w:rFonts w:hAnsi="標楷體"/>
        </w:rPr>
        <w:t>96</w:t>
      </w:r>
      <w:r w:rsidRPr="00AB4D4D">
        <w:rPr>
          <w:rFonts w:hAnsi="標楷體" w:hint="eastAsia"/>
        </w:rPr>
        <w:t>條監察委員「由各省市議會蒙古及西藏地方議會選舉之」應修正為「由國民大會選舉之」</w:t>
      </w:r>
      <w:r w:rsidRPr="00AB4D4D">
        <w:rPr>
          <w:rFonts w:hAnsi="標楷體" w:hint="eastAsia"/>
          <w:b/>
          <w:bCs/>
        </w:rPr>
        <w:t>【說明】：</w:t>
      </w:r>
      <w:r w:rsidRPr="00AB4D4D">
        <w:rPr>
          <w:rFonts w:hAnsi="標楷體" w:hint="eastAsia"/>
        </w:rPr>
        <w:t>見前。（十七）原第</w:t>
      </w:r>
      <w:r w:rsidRPr="00AB4D4D">
        <w:rPr>
          <w:rFonts w:hAnsi="標楷體"/>
        </w:rPr>
        <w:t>103</w:t>
      </w:r>
      <w:r w:rsidRPr="00AB4D4D">
        <w:rPr>
          <w:rFonts w:hAnsi="標楷體" w:hint="eastAsia"/>
        </w:rPr>
        <w:t>條</w:t>
      </w:r>
      <w:r w:rsidRPr="00AB4D4D">
        <w:rPr>
          <w:rFonts w:hAnsi="標楷體" w:hint="eastAsia"/>
          <w:b/>
          <w:bCs/>
        </w:rPr>
        <w:t>彈劾案</w:t>
      </w:r>
      <w:r w:rsidRPr="00AB4D4D">
        <w:rPr>
          <w:rFonts w:hAnsi="標楷體" w:hint="eastAsia"/>
        </w:rPr>
        <w:t>須經監察委員「</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人以上之審查及決定，始得提出送由懲戒機關依法辦理。」應修正為：「</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人以上之審查，全體監察委員出席過半數之決定，其關於行政處分，送交行政機關執行，刑事處分，送由司法機關辦理。」。參見，《國民大會實錄（總編）》，國民大會秘書處編印，35年12月。P1323- P1324。</w:t>
      </w:r>
    </w:p>
  </w:footnote>
  <w:footnote w:id="46">
    <w:p w:rsidR="00684EAD" w:rsidRPr="00AB4D4D" w:rsidRDefault="00684EAD" w:rsidP="000D2A39">
      <w:pPr>
        <w:pStyle w:val="afd"/>
        <w:ind w:left="264" w:hangingChars="120" w:hanging="264"/>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嚴莊</w:t>
      </w:r>
      <w:r w:rsidRPr="00AB4D4D">
        <w:rPr>
          <w:rFonts w:hAnsi="標楷體" w:hint="eastAsia"/>
        </w:rPr>
        <w:t>等</w:t>
      </w:r>
      <w:r w:rsidRPr="00AB4D4D">
        <w:rPr>
          <w:rFonts w:hAnsi="標楷體"/>
        </w:rPr>
        <w:t>89</w:t>
      </w:r>
      <w:r w:rsidRPr="00AB4D4D">
        <w:rPr>
          <w:rFonts w:hAnsi="標楷體" w:hint="eastAsia"/>
        </w:rPr>
        <w:t>人提對憲法草案第</w:t>
      </w:r>
      <w:r w:rsidRPr="00AB4D4D">
        <w:rPr>
          <w:rFonts w:hAnsi="標楷體"/>
        </w:rPr>
        <w:t>9</w:t>
      </w:r>
      <w:r w:rsidRPr="00AB4D4D">
        <w:rPr>
          <w:rFonts w:hAnsi="標楷體" w:hint="eastAsia"/>
        </w:rPr>
        <w:t>章第</w:t>
      </w:r>
      <w:r w:rsidRPr="00AB4D4D">
        <w:rPr>
          <w:rFonts w:hAnsi="標楷體"/>
        </w:rPr>
        <w:t>100</w:t>
      </w:r>
      <w:r w:rsidRPr="00AB4D4D">
        <w:rPr>
          <w:rFonts w:hAnsi="標楷體" w:hint="eastAsia"/>
        </w:rPr>
        <w:t>條至</w:t>
      </w:r>
      <w:r w:rsidRPr="00AB4D4D">
        <w:rPr>
          <w:rFonts w:hAnsi="標楷體"/>
        </w:rPr>
        <w:t>105</w:t>
      </w:r>
      <w:r w:rsidRPr="00AB4D4D">
        <w:rPr>
          <w:rFonts w:hAnsi="標楷體" w:hint="eastAsia"/>
        </w:rPr>
        <w:t>條之修正案（提案第</w:t>
      </w:r>
      <w:r w:rsidRPr="00AB4D4D">
        <w:rPr>
          <w:rFonts w:hAnsi="標楷體"/>
        </w:rPr>
        <w:t>125</w:t>
      </w:r>
      <w:r w:rsidRPr="00AB4D4D">
        <w:rPr>
          <w:rFonts w:hAnsi="標楷體" w:hint="eastAsia"/>
        </w:rPr>
        <w:t>號）。（四）、第</w:t>
      </w:r>
      <w:r w:rsidRPr="00AB4D4D">
        <w:rPr>
          <w:rFonts w:hAnsi="標楷體"/>
        </w:rPr>
        <w:t>103</w:t>
      </w:r>
      <w:r w:rsidRPr="00AB4D4D">
        <w:rPr>
          <w:rFonts w:hAnsi="標楷體" w:hint="eastAsia"/>
        </w:rPr>
        <w:t>條：「監察院對於中央及地方行政人員之</w:t>
      </w:r>
      <w:r w:rsidRPr="00AB4D4D">
        <w:rPr>
          <w:rFonts w:hAnsi="標楷體" w:hint="eastAsia"/>
          <w:b/>
          <w:bCs/>
          <w:iCs/>
        </w:rPr>
        <w:t>彈劾</w:t>
      </w:r>
      <w:r w:rsidRPr="00AB4D4D">
        <w:rPr>
          <w:rFonts w:hAnsi="標楷體" w:hint="eastAsia"/>
        </w:rPr>
        <w:t>案，經監察委員</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人以上之審查及決定，始得提出，送由懲戒機關依法辦理。」擬修正為：「監察院對於中央及地方公務人員之彈劾案，經監察委員</w:t>
      </w:r>
      <w:r w:rsidRPr="00AB4D4D">
        <w:rPr>
          <w:rFonts w:hAnsi="標楷體"/>
        </w:rPr>
        <w:t>1</w:t>
      </w:r>
      <w:r w:rsidRPr="00AB4D4D">
        <w:rPr>
          <w:rFonts w:hAnsi="標楷體" w:hint="eastAsia"/>
        </w:rPr>
        <w:t>人以上提議，</w:t>
      </w:r>
      <w:r w:rsidRPr="00AB4D4D">
        <w:rPr>
          <w:rFonts w:hAnsi="標楷體"/>
        </w:rPr>
        <w:t>9</w:t>
      </w:r>
      <w:r w:rsidRPr="00AB4D4D">
        <w:rPr>
          <w:rFonts w:hAnsi="標楷體" w:hint="eastAsia"/>
        </w:rPr>
        <w:t>人以上之審查及決定，始得提出。」</w:t>
      </w:r>
      <w:r w:rsidRPr="00AB4D4D">
        <w:rPr>
          <w:rFonts w:hAnsi="標楷體" w:hint="eastAsia"/>
          <w:b/>
          <w:bCs/>
        </w:rPr>
        <w:t>【理由】：</w:t>
      </w:r>
      <w:r w:rsidRPr="00AB4D4D">
        <w:rPr>
          <w:rFonts w:hAnsi="標楷體" w:hint="eastAsia"/>
        </w:rPr>
        <w:t>監察委員對於</w:t>
      </w:r>
      <w:r w:rsidRPr="00AB4D4D">
        <w:rPr>
          <w:rFonts w:hAnsi="標楷體" w:hint="eastAsia"/>
          <w:b/>
          <w:bCs/>
          <w:iCs/>
        </w:rPr>
        <w:t>彈劾</w:t>
      </w:r>
      <w:r w:rsidRPr="00AB4D4D">
        <w:rPr>
          <w:rFonts w:hAnsi="標楷體" w:hint="eastAsia"/>
        </w:rPr>
        <w:t>權之行使，宜獨立自由，故</w:t>
      </w:r>
      <w:r w:rsidRPr="00AB4D4D">
        <w:rPr>
          <w:rFonts w:hAnsi="標楷體" w:hint="eastAsia"/>
          <w:b/>
          <w:bCs/>
          <w:iCs/>
        </w:rPr>
        <w:t>彈劾</w:t>
      </w:r>
      <w:r w:rsidRPr="00AB4D4D">
        <w:rPr>
          <w:rFonts w:hAnsi="標楷體" w:hint="eastAsia"/>
        </w:rPr>
        <w:t>案自應由監察委員單獨提出。並擬請增列一項：「監察院對於中央及地方各機關之施政，認為有失當或不力時，得提出建議案，送交各該機關或其上級機關。」</w:t>
      </w:r>
      <w:r w:rsidRPr="00AB4D4D">
        <w:rPr>
          <w:rFonts w:hAnsi="標楷體" w:hint="eastAsia"/>
          <w:b/>
          <w:bCs/>
        </w:rPr>
        <w:t>【理由】：</w:t>
      </w:r>
      <w:r w:rsidRPr="00AB4D4D">
        <w:rPr>
          <w:rFonts w:hAnsi="標楷體" w:hint="eastAsia"/>
        </w:rPr>
        <w:t>查</w:t>
      </w:r>
      <w:r w:rsidRPr="00AB4D4D">
        <w:rPr>
          <w:rFonts w:hAnsi="標楷體" w:hint="eastAsia"/>
          <w:b/>
          <w:bCs/>
          <w:iCs/>
        </w:rPr>
        <w:t>彈劾</w:t>
      </w:r>
      <w:r w:rsidRPr="00AB4D4D">
        <w:rPr>
          <w:rFonts w:hAnsi="標楷體" w:hint="eastAsia"/>
        </w:rPr>
        <w:t>案，必在公務員違法失職之行為，業經構成事實之後，始能行使。是謂事後監察。糾正案及建議案可在公務員違法失職尚未構成事實之前，即可行使。是謂事前監察。故應請增入。（六）、第</w:t>
      </w:r>
      <w:r w:rsidRPr="00AB4D4D">
        <w:rPr>
          <w:rFonts w:hAnsi="標楷體"/>
        </w:rPr>
        <w:t>105</w:t>
      </w:r>
      <w:r w:rsidRPr="00AB4D4D">
        <w:rPr>
          <w:rFonts w:hAnsi="標楷體" w:hint="eastAsia"/>
        </w:rPr>
        <w:t>條：「監察院對於總統副總統之</w:t>
      </w:r>
      <w:r w:rsidRPr="00AB4D4D">
        <w:rPr>
          <w:rFonts w:hAnsi="標楷體" w:hint="eastAsia"/>
          <w:b/>
          <w:bCs/>
          <w:iCs/>
        </w:rPr>
        <w:t>彈劾</w:t>
      </w:r>
      <w:r w:rsidRPr="00AB4D4D">
        <w:rPr>
          <w:rFonts w:hAnsi="標楷體" w:hint="eastAsia"/>
        </w:rPr>
        <w:t>案，須有全體監察委員四分之一以上之提議，全體監察委員過半數之審查及決議，向國民大會提出之。」擬修正為：「監察院對於總統副總統之</w:t>
      </w:r>
      <w:r w:rsidRPr="00AB4D4D">
        <w:rPr>
          <w:rFonts w:hAnsi="標楷體" w:hint="eastAsia"/>
          <w:b/>
          <w:bCs/>
          <w:iCs/>
        </w:rPr>
        <w:t>彈劾</w:t>
      </w:r>
      <w:r w:rsidRPr="00AB4D4D">
        <w:rPr>
          <w:rFonts w:hAnsi="標楷體" w:hint="eastAsia"/>
        </w:rPr>
        <w:t>案，須有全體監察委員四分之一以上之提議，全體監察委員過半數之審查及決定，對於各院院長副院長之彈劾案，須有全體監察委員</w:t>
      </w:r>
      <w:r w:rsidRPr="00AB4D4D">
        <w:rPr>
          <w:rFonts w:hAnsi="標楷體"/>
        </w:rPr>
        <w:t>10</w:t>
      </w:r>
      <w:r w:rsidRPr="00AB4D4D">
        <w:rPr>
          <w:rFonts w:hAnsi="標楷體" w:hint="eastAsia"/>
        </w:rPr>
        <w:t>人以上之提議，全體監察委員四分之一以上之審查及決定，向國民大會提出之。」參見，《國民大會實錄（總編）》，國民大會秘書處編印，35年12月。P1233。</w:t>
      </w:r>
    </w:p>
  </w:footnote>
  <w:footnote w:id="47">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官其欽</w:t>
      </w:r>
      <w:r w:rsidRPr="00AB4D4D">
        <w:rPr>
          <w:rFonts w:hAnsi="標楷體" w:hint="eastAsia"/>
        </w:rPr>
        <w:t>等</w:t>
      </w:r>
      <w:r w:rsidRPr="00AB4D4D">
        <w:rPr>
          <w:rFonts w:hAnsi="標楷體"/>
        </w:rPr>
        <w:t>23</w:t>
      </w:r>
      <w:r w:rsidRPr="00AB4D4D">
        <w:rPr>
          <w:rFonts w:hAnsi="標楷體" w:hint="eastAsia"/>
        </w:rPr>
        <w:t>人提對於第</w:t>
      </w:r>
      <w:r w:rsidRPr="00AB4D4D">
        <w:rPr>
          <w:rFonts w:hAnsi="標楷體"/>
        </w:rPr>
        <w:t>103</w:t>
      </w:r>
      <w:r w:rsidRPr="00AB4D4D">
        <w:rPr>
          <w:rFonts w:hAnsi="標楷體" w:hint="eastAsia"/>
        </w:rPr>
        <w:t>條：「監察院對於中央及地方行政人員之彈劾案須經監察委員</w:t>
      </w:r>
      <w:r w:rsidRPr="00AB4D4D">
        <w:rPr>
          <w:rFonts w:hAnsi="標楷體"/>
        </w:rPr>
        <w:t>3</w:t>
      </w:r>
      <w:r w:rsidRPr="00AB4D4D">
        <w:rPr>
          <w:rFonts w:hAnsi="標楷體" w:hint="eastAsia"/>
        </w:rPr>
        <w:t>人以上之提議，</w:t>
      </w:r>
      <w:r w:rsidRPr="00AB4D4D">
        <w:rPr>
          <w:rFonts w:hAnsi="標楷體"/>
        </w:rPr>
        <w:t>9</w:t>
      </w:r>
      <w:r w:rsidRPr="00AB4D4D">
        <w:rPr>
          <w:rFonts w:hAnsi="標楷體" w:hint="eastAsia"/>
        </w:rPr>
        <w:t>人以上之審查及決定，始得提出送由懲戒機關依法辦理」之規定，認為削減監察作用窒礙難行案（提案第</w:t>
      </w:r>
      <w:r w:rsidRPr="00AB4D4D">
        <w:rPr>
          <w:rFonts w:hAnsi="標楷體"/>
        </w:rPr>
        <w:t>322</w:t>
      </w:r>
      <w:r w:rsidRPr="00AB4D4D">
        <w:rPr>
          <w:rFonts w:hAnsi="標楷體" w:hint="eastAsia"/>
        </w:rPr>
        <w:t>號）。【理由】：依照憲草第</w:t>
      </w:r>
      <w:r w:rsidRPr="00AB4D4D">
        <w:rPr>
          <w:rFonts w:hAnsi="標楷體"/>
        </w:rPr>
        <w:t>96</w:t>
      </w:r>
      <w:r w:rsidRPr="00AB4D4D">
        <w:rPr>
          <w:rFonts w:hAnsi="標楷體" w:hint="eastAsia"/>
        </w:rPr>
        <w:t>條第</w:t>
      </w:r>
      <w:r w:rsidRPr="00AB4D4D">
        <w:rPr>
          <w:rFonts w:hAnsi="標楷體"/>
        </w:rPr>
        <w:t>1</w:t>
      </w:r>
      <w:r w:rsidRPr="00AB4D4D">
        <w:rPr>
          <w:rFonts w:hAnsi="標楷體" w:hint="eastAsia"/>
        </w:rPr>
        <w:t>項規定，每省僅能產生監察委員</w:t>
      </w:r>
      <w:r w:rsidRPr="00AB4D4D">
        <w:rPr>
          <w:rFonts w:hAnsi="標楷體"/>
        </w:rPr>
        <w:t>5</w:t>
      </w:r>
      <w:r w:rsidRPr="00AB4D4D">
        <w:rPr>
          <w:rFonts w:hAnsi="標楷體" w:hint="eastAsia"/>
        </w:rPr>
        <w:t>人。是以兩省全數之監察委員，始能彈劾各縣市府內區區一地方行政人員，則其削減監察權力之作用，窒礙難行，至為明顯。況現日貪污遍地，對症下藥，正需風聞即辦，加以雷霆萬鈞之勢，方能收實效而資警戒。故擬修正第</w:t>
      </w:r>
      <w:r w:rsidRPr="00AB4D4D">
        <w:rPr>
          <w:rFonts w:hAnsi="標楷體"/>
        </w:rPr>
        <w:t>103</w:t>
      </w:r>
      <w:r w:rsidRPr="00AB4D4D">
        <w:rPr>
          <w:rFonts w:hAnsi="標楷體" w:hint="eastAsia"/>
        </w:rPr>
        <w:t>條條文如下：「監察院對於中央及地方行政人員之</w:t>
      </w:r>
      <w:r w:rsidRPr="00AB4D4D">
        <w:rPr>
          <w:rFonts w:hAnsi="標楷體" w:hint="eastAsia"/>
          <w:b/>
          <w:bCs/>
          <w:iCs/>
        </w:rPr>
        <w:t>彈劾案</w:t>
      </w:r>
      <w:r w:rsidRPr="00AB4D4D">
        <w:rPr>
          <w:rFonts w:hAnsi="標楷體" w:hint="eastAsia"/>
        </w:rPr>
        <w:t>，須經監察委員</w:t>
      </w:r>
      <w:r w:rsidRPr="00AB4D4D">
        <w:rPr>
          <w:rFonts w:hAnsi="標楷體"/>
        </w:rPr>
        <w:t>1</w:t>
      </w:r>
      <w:r w:rsidRPr="00AB4D4D">
        <w:rPr>
          <w:rFonts w:hAnsi="標楷體" w:hint="eastAsia"/>
        </w:rPr>
        <w:t>人之提議，</w:t>
      </w:r>
      <w:r w:rsidRPr="00AB4D4D">
        <w:rPr>
          <w:rFonts w:hAnsi="標楷體"/>
        </w:rPr>
        <w:t>3</w:t>
      </w:r>
      <w:r w:rsidRPr="00AB4D4D">
        <w:rPr>
          <w:rFonts w:hAnsi="標楷體" w:hint="eastAsia"/>
        </w:rPr>
        <w:t>人以上之審查及決定，得提出送由懲戒機關依法辦理。」是否有當，敬請公決。參見，《國民大會實錄（總編）》，國民大會秘書處編印，35年12月。P954- P956。</w:t>
      </w:r>
    </w:p>
  </w:footnote>
  <w:footnote w:id="48">
    <w:p w:rsidR="00684EAD" w:rsidRPr="00AB4D4D" w:rsidRDefault="00684EAD" w:rsidP="000D2A39">
      <w:pPr>
        <w:pStyle w:val="afd"/>
        <w:ind w:left="264" w:hangingChars="120" w:hanging="264"/>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高一涵</w:t>
      </w:r>
      <w:r w:rsidRPr="00AB4D4D">
        <w:rPr>
          <w:rFonts w:hAnsi="標楷體" w:hint="eastAsia"/>
        </w:rPr>
        <w:t>、</w:t>
      </w:r>
      <w:r w:rsidRPr="00AB4D4D">
        <w:rPr>
          <w:rFonts w:hAnsi="標楷體" w:hint="eastAsia"/>
          <w:u w:val="single"/>
        </w:rPr>
        <w:t>水梓</w:t>
      </w:r>
      <w:r w:rsidRPr="00AB4D4D">
        <w:rPr>
          <w:rFonts w:hAnsi="標楷體" w:hint="eastAsia"/>
        </w:rPr>
        <w:t>、</w:t>
      </w:r>
      <w:r w:rsidRPr="00AB4D4D">
        <w:rPr>
          <w:rFonts w:hAnsi="標楷體" w:hint="eastAsia"/>
          <w:u w:val="single"/>
        </w:rPr>
        <w:t>田炯錦</w:t>
      </w:r>
      <w:r w:rsidRPr="00AB4D4D">
        <w:rPr>
          <w:rFonts w:hAnsi="標楷體" w:hint="eastAsia"/>
        </w:rPr>
        <w:t>、</w:t>
      </w:r>
      <w:r w:rsidRPr="00AB4D4D">
        <w:rPr>
          <w:rFonts w:hAnsi="標楷體" w:hint="eastAsia"/>
          <w:u w:val="single"/>
        </w:rPr>
        <w:t>曹啟文</w:t>
      </w:r>
      <w:r w:rsidRPr="00AB4D4D">
        <w:rPr>
          <w:rFonts w:hAnsi="標楷體" w:hint="eastAsia"/>
        </w:rPr>
        <w:t>等</w:t>
      </w:r>
      <w:r w:rsidRPr="00AB4D4D">
        <w:rPr>
          <w:rFonts w:hAnsi="標楷體"/>
        </w:rPr>
        <w:t>193</w:t>
      </w:r>
      <w:r w:rsidRPr="00AB4D4D">
        <w:rPr>
          <w:rFonts w:hAnsi="標楷體" w:hint="eastAsia"/>
        </w:rPr>
        <w:t>人就憲草第</w:t>
      </w:r>
      <w:r w:rsidRPr="00AB4D4D">
        <w:rPr>
          <w:rFonts w:hAnsi="標楷體"/>
        </w:rPr>
        <w:t>9</w:t>
      </w:r>
      <w:r w:rsidRPr="00AB4D4D">
        <w:rPr>
          <w:rFonts w:hAnsi="標楷體" w:hint="eastAsia"/>
        </w:rPr>
        <w:t>章第</w:t>
      </w:r>
      <w:r w:rsidRPr="00AB4D4D">
        <w:rPr>
          <w:rFonts w:hAnsi="標楷體"/>
        </w:rPr>
        <w:t>95</w:t>
      </w:r>
      <w:r w:rsidRPr="00AB4D4D">
        <w:rPr>
          <w:rFonts w:hAnsi="標楷體" w:hint="eastAsia"/>
        </w:rPr>
        <w:t>條之修正案（提案第</w:t>
      </w:r>
      <w:r w:rsidRPr="00AB4D4D">
        <w:rPr>
          <w:rFonts w:hAnsi="標楷體"/>
        </w:rPr>
        <w:t>141</w:t>
      </w:r>
      <w:r w:rsidRPr="00AB4D4D">
        <w:rPr>
          <w:rFonts w:hAnsi="標楷體" w:hint="eastAsia"/>
        </w:rPr>
        <w:t>號）。第</w:t>
      </w:r>
      <w:r w:rsidRPr="00AB4D4D">
        <w:rPr>
          <w:rFonts w:hAnsi="標楷體"/>
        </w:rPr>
        <w:t>95</w:t>
      </w:r>
      <w:r w:rsidRPr="00AB4D4D">
        <w:rPr>
          <w:rFonts w:hAnsi="標楷體" w:hint="eastAsia"/>
        </w:rPr>
        <w:t>條原文「監察院為國家最高監察機關，行使同意、彈劾及</w:t>
      </w:r>
      <w:r w:rsidRPr="00AB4D4D">
        <w:rPr>
          <w:rFonts w:hAnsi="標楷體" w:hint="eastAsia"/>
          <w:u w:val="single"/>
        </w:rPr>
        <w:t>監察</w:t>
      </w:r>
      <w:r w:rsidRPr="00AB4D4D">
        <w:rPr>
          <w:rFonts w:hAnsi="標楷體" w:hint="eastAsia"/>
        </w:rPr>
        <w:t>權」，擬請修正為：「監察院為國家最高監察機關，行使彈劾、</w:t>
      </w:r>
      <w:r w:rsidRPr="00AB4D4D">
        <w:rPr>
          <w:rFonts w:hAnsi="標楷體" w:hint="eastAsia"/>
          <w:u w:val="single"/>
        </w:rPr>
        <w:t>糾舉</w:t>
      </w:r>
      <w:r w:rsidRPr="00AB4D4D">
        <w:rPr>
          <w:rFonts w:hAnsi="標楷體" w:hint="eastAsia"/>
        </w:rPr>
        <w:t>、懲戒及審計權，對國民大會負其責任。」</w:t>
      </w:r>
      <w:r w:rsidRPr="00AB4D4D">
        <w:rPr>
          <w:rFonts w:hAnsi="標楷體" w:hint="eastAsia"/>
          <w:b/>
          <w:bCs/>
        </w:rPr>
        <w:t>【理由：】</w:t>
      </w:r>
      <w:r w:rsidRPr="00AB4D4D">
        <w:rPr>
          <w:rFonts w:hAnsi="標楷體" w:hint="eastAsia"/>
        </w:rPr>
        <w:t>（二）、增加</w:t>
      </w:r>
      <w:r w:rsidRPr="00AB4D4D">
        <w:rPr>
          <w:rFonts w:hAnsi="標楷體" w:hint="eastAsia"/>
          <w:b/>
          <w:bCs/>
          <w:iCs/>
        </w:rPr>
        <w:t>「糾舉權</w:t>
      </w:r>
      <w:r w:rsidRPr="00AB4D4D">
        <w:rPr>
          <w:rFonts w:hAnsi="標楷體" w:hint="eastAsia"/>
          <w:iCs/>
        </w:rPr>
        <w:t>」</w:t>
      </w:r>
      <w:r w:rsidRPr="00AB4D4D">
        <w:rPr>
          <w:rFonts w:hAnsi="標楷體" w:hint="eastAsia"/>
        </w:rPr>
        <w:t>，依照過去經驗，凡「糾舉案」皆逕交被糾舉人之主管機關或其上級機關，調查既甚便利，處置自更迅速。且各該機關平素對於被糾舉人，皆有監督權，故於迅速之中，兼寓審慎之意，此為監察院過去行使之實際經驗，故應仍予繼續行使。（五）、因</w:t>
      </w:r>
      <w:r w:rsidRPr="00AB4D4D">
        <w:rPr>
          <w:rFonts w:hAnsi="標楷體" w:hint="eastAsia"/>
          <w:b/>
          <w:bCs/>
        </w:rPr>
        <w:t>「監察權」</w:t>
      </w:r>
      <w:r w:rsidRPr="00AB4D4D">
        <w:rPr>
          <w:rFonts w:hAnsi="標楷體" w:hint="eastAsia"/>
        </w:rPr>
        <w:t>既已列舉規定，而為概括名辭之</w:t>
      </w:r>
      <w:r w:rsidRPr="00AB4D4D">
        <w:rPr>
          <w:rFonts w:hAnsi="標楷體" w:hint="eastAsia"/>
          <w:b/>
          <w:bCs/>
        </w:rPr>
        <w:t>「監察權」</w:t>
      </w:r>
      <w:r w:rsidRPr="00AB4D4D">
        <w:rPr>
          <w:rFonts w:hAnsi="標楷體"/>
        </w:rPr>
        <w:t>3</w:t>
      </w:r>
      <w:r w:rsidRPr="00AB4D4D">
        <w:rPr>
          <w:rFonts w:hAnsi="標楷體" w:hint="eastAsia"/>
        </w:rPr>
        <w:t>字，自當刪去。以上是否有當，敬請公決。參見，《國民大會實錄（總編）》，國民大會秘書處編印，35年12月。P991- P992。</w:t>
      </w:r>
    </w:p>
  </w:footnote>
  <w:footnote w:id="49">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嚴莊</w:t>
      </w:r>
      <w:r w:rsidRPr="00AB4D4D">
        <w:rPr>
          <w:rFonts w:hAnsi="標楷體" w:hint="eastAsia"/>
        </w:rPr>
        <w:t>等</w:t>
      </w:r>
      <w:r w:rsidRPr="00AB4D4D">
        <w:rPr>
          <w:rFonts w:hAnsi="標楷體"/>
        </w:rPr>
        <w:t>89</w:t>
      </w:r>
      <w:r w:rsidRPr="00AB4D4D">
        <w:rPr>
          <w:rFonts w:hAnsi="標楷體" w:hint="eastAsia"/>
        </w:rPr>
        <w:t>人提對憲法草案第</w:t>
      </w:r>
      <w:r w:rsidRPr="00AB4D4D">
        <w:rPr>
          <w:rFonts w:hAnsi="標楷體"/>
        </w:rPr>
        <w:t>9</w:t>
      </w:r>
      <w:r w:rsidRPr="00AB4D4D">
        <w:rPr>
          <w:rFonts w:hAnsi="標楷體" w:hint="eastAsia"/>
        </w:rPr>
        <w:t>章第</w:t>
      </w:r>
      <w:r w:rsidRPr="00AB4D4D">
        <w:rPr>
          <w:rFonts w:hAnsi="標楷體"/>
        </w:rPr>
        <w:t>100</w:t>
      </w:r>
      <w:r w:rsidRPr="00AB4D4D">
        <w:rPr>
          <w:rFonts w:hAnsi="標楷體" w:hint="eastAsia"/>
        </w:rPr>
        <w:t>條至</w:t>
      </w:r>
      <w:r w:rsidRPr="00AB4D4D">
        <w:rPr>
          <w:rFonts w:hAnsi="標楷體"/>
        </w:rPr>
        <w:t>105</w:t>
      </w:r>
      <w:r w:rsidRPr="00AB4D4D">
        <w:rPr>
          <w:rFonts w:hAnsi="標楷體" w:hint="eastAsia"/>
        </w:rPr>
        <w:t>條之修正案（提案第</w:t>
      </w:r>
      <w:r w:rsidRPr="00AB4D4D">
        <w:rPr>
          <w:rFonts w:hAnsi="標楷體"/>
        </w:rPr>
        <w:t>125</w:t>
      </w:r>
      <w:r w:rsidRPr="00AB4D4D">
        <w:rPr>
          <w:rFonts w:hAnsi="標楷體" w:hint="eastAsia"/>
        </w:rPr>
        <w:t>號）。（三）、第</w:t>
      </w:r>
      <w:r w:rsidRPr="00AB4D4D">
        <w:rPr>
          <w:rFonts w:hAnsi="標楷體"/>
        </w:rPr>
        <w:t>102</w:t>
      </w:r>
      <w:r w:rsidRPr="00AB4D4D">
        <w:rPr>
          <w:rFonts w:hAnsi="標楷體" w:hint="eastAsia"/>
        </w:rPr>
        <w:t>條：「監察院經各委員會之審查及決議，得提出糾正案，送交行政院及其各部會注意改善。」、「監察院對於行政院或其各部會人員，認為有失職或違法情事，得提出彈劾案。如係涉及刑事，應移送法院辦理」擬修正為：「監察院經各委員會之審查及決議，得提出糾正案，送交各院部會注意改善。」、「監察院對於中央及地方公務人員，認為有失職或違法情事，得提出彈劾案或</w:t>
      </w:r>
      <w:r w:rsidRPr="00AB4D4D">
        <w:rPr>
          <w:rFonts w:hAnsi="標楷體" w:hint="eastAsia"/>
          <w:b/>
          <w:bCs/>
          <w:iCs/>
        </w:rPr>
        <w:t>糾舉案</w:t>
      </w:r>
      <w:r w:rsidRPr="00AB4D4D">
        <w:rPr>
          <w:rFonts w:hAnsi="標楷體" w:hint="eastAsia"/>
        </w:rPr>
        <w:t>，分別移送懲戒機關，或其主管機關辦理。如係涉及刑事，均應由監察院移送法院辦理。」</w:t>
      </w:r>
      <w:r w:rsidRPr="00AB4D4D">
        <w:rPr>
          <w:rFonts w:hAnsi="標楷體" w:hint="eastAsia"/>
          <w:b/>
          <w:bCs/>
        </w:rPr>
        <w:t>【理由】：</w:t>
      </w:r>
      <w:r w:rsidRPr="00AB4D4D">
        <w:rPr>
          <w:rFonts w:hAnsi="標楷體" w:hint="eastAsia"/>
        </w:rPr>
        <w:t>又糾舉已列為監察權之一，應予增列。參見，《國民大會實錄（總編）》，國民大會秘書處編印，35年12月。P1233。</w:t>
      </w:r>
    </w:p>
  </w:footnote>
  <w:footnote w:id="50">
    <w:p w:rsidR="00684EAD" w:rsidRPr="00AB4D4D" w:rsidRDefault="00684EAD" w:rsidP="000D2A39">
      <w:pPr>
        <w:pStyle w:val="afd"/>
        <w:ind w:left="264" w:hangingChars="120" w:hanging="264"/>
        <w:rPr>
          <w:rFonts w:hAnsi="標楷體"/>
        </w:rPr>
      </w:pPr>
      <w:r w:rsidRPr="00AB4D4D">
        <w:rPr>
          <w:rStyle w:val="aff"/>
        </w:rPr>
        <w:footnoteRef/>
      </w:r>
      <w:r w:rsidRPr="00AB4D4D">
        <w:t xml:space="preserve"> </w:t>
      </w:r>
      <w:r w:rsidRPr="00AB4D4D">
        <w:rPr>
          <w:rFonts w:hAnsi="標楷體" w:hint="eastAsia"/>
        </w:rPr>
        <w:t>代表</w:t>
      </w:r>
      <w:r w:rsidRPr="00AB4D4D">
        <w:rPr>
          <w:rFonts w:hAnsi="標楷體" w:hint="eastAsia"/>
          <w:u w:val="single"/>
        </w:rPr>
        <w:t>嚴莊</w:t>
      </w:r>
      <w:r w:rsidRPr="00AB4D4D">
        <w:rPr>
          <w:rFonts w:hAnsi="標楷體" w:hint="eastAsia"/>
        </w:rPr>
        <w:t>等</w:t>
      </w:r>
      <w:r w:rsidRPr="00AB4D4D">
        <w:rPr>
          <w:rFonts w:hAnsi="標楷體"/>
        </w:rPr>
        <w:t>89</w:t>
      </w:r>
      <w:r w:rsidRPr="00AB4D4D">
        <w:rPr>
          <w:rFonts w:hAnsi="標楷體" w:hint="eastAsia"/>
        </w:rPr>
        <w:t>人提對憲法草案第</w:t>
      </w:r>
      <w:r w:rsidRPr="00AB4D4D">
        <w:rPr>
          <w:rFonts w:hAnsi="標楷體"/>
        </w:rPr>
        <w:t>9</w:t>
      </w:r>
      <w:r w:rsidRPr="00AB4D4D">
        <w:rPr>
          <w:rFonts w:hAnsi="標楷體" w:hint="eastAsia"/>
        </w:rPr>
        <w:t>章第</w:t>
      </w:r>
      <w:r w:rsidRPr="00AB4D4D">
        <w:rPr>
          <w:rFonts w:hAnsi="標楷體"/>
        </w:rPr>
        <w:t>100</w:t>
      </w:r>
      <w:r w:rsidRPr="00AB4D4D">
        <w:rPr>
          <w:rFonts w:hAnsi="標楷體" w:hint="eastAsia"/>
        </w:rPr>
        <w:t>條至</w:t>
      </w:r>
      <w:r w:rsidRPr="00AB4D4D">
        <w:rPr>
          <w:rFonts w:hAnsi="標楷體"/>
        </w:rPr>
        <w:t>105</w:t>
      </w:r>
      <w:r w:rsidRPr="00AB4D4D">
        <w:rPr>
          <w:rFonts w:hAnsi="標楷體" w:hint="eastAsia"/>
        </w:rPr>
        <w:t>條之修正案（提案第</w:t>
      </w:r>
      <w:r w:rsidRPr="00AB4D4D">
        <w:rPr>
          <w:rFonts w:hAnsi="標楷體"/>
        </w:rPr>
        <w:t>125</w:t>
      </w:r>
      <w:r w:rsidRPr="00AB4D4D">
        <w:rPr>
          <w:rFonts w:hAnsi="標楷體" w:hint="eastAsia"/>
        </w:rPr>
        <w:t>號）。擬請增列一項：「監察院對於中央及地方各機關之施政，認為有失當或不力時，得提出</w:t>
      </w:r>
      <w:r w:rsidRPr="00AB4D4D">
        <w:rPr>
          <w:rFonts w:hAnsi="標楷體" w:hint="eastAsia"/>
          <w:b/>
          <w:bCs/>
          <w:iCs/>
        </w:rPr>
        <w:t>建議案</w:t>
      </w:r>
      <w:r w:rsidRPr="00AB4D4D">
        <w:rPr>
          <w:rFonts w:hAnsi="標楷體" w:hint="eastAsia"/>
        </w:rPr>
        <w:t>，送交各該機關或其上級機關。」</w:t>
      </w:r>
      <w:r w:rsidRPr="00AB4D4D">
        <w:rPr>
          <w:rFonts w:hAnsi="標楷體" w:hint="eastAsia"/>
          <w:b/>
          <w:bCs/>
        </w:rPr>
        <w:t>【理由】：</w:t>
      </w:r>
      <w:r w:rsidRPr="00AB4D4D">
        <w:rPr>
          <w:rFonts w:hAnsi="標楷體" w:hint="eastAsia"/>
        </w:rPr>
        <w:t>查彈劾案，必在公務員違法失職之行為，業經構成事實之後，始能行使。是謂事後監察。</w:t>
      </w:r>
      <w:r w:rsidRPr="00AB4D4D">
        <w:rPr>
          <w:rFonts w:hAnsi="標楷體" w:hint="eastAsia"/>
          <w:b/>
          <w:bCs/>
          <w:iCs/>
        </w:rPr>
        <w:t>糾正案</w:t>
      </w:r>
      <w:r w:rsidRPr="00AB4D4D">
        <w:rPr>
          <w:rFonts w:hAnsi="標楷體" w:hint="eastAsia"/>
        </w:rPr>
        <w:t>及建議案可在公務員違法失職尚未構成事實之前，即可行使。是謂事前監察。故應請增入。參見，《國民大會實錄（總編）》，國民大會秘書處編印，35年12月。P1233。</w:t>
      </w:r>
    </w:p>
  </w:footnote>
  <w:footnote w:id="51">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高一涵</w:t>
      </w:r>
      <w:r w:rsidRPr="00AB4D4D">
        <w:rPr>
          <w:rFonts w:hAnsi="標楷體" w:hint="eastAsia"/>
        </w:rPr>
        <w:t>、</w:t>
      </w:r>
      <w:r w:rsidRPr="00AB4D4D">
        <w:rPr>
          <w:rFonts w:hAnsi="標楷體" w:hint="eastAsia"/>
          <w:u w:val="single"/>
        </w:rPr>
        <w:t>水梓</w:t>
      </w:r>
      <w:r w:rsidRPr="00AB4D4D">
        <w:rPr>
          <w:rFonts w:hAnsi="標楷體" w:hint="eastAsia"/>
        </w:rPr>
        <w:t>、</w:t>
      </w:r>
      <w:r w:rsidRPr="00AB4D4D">
        <w:rPr>
          <w:rFonts w:hAnsi="標楷體" w:hint="eastAsia"/>
          <w:u w:val="single"/>
        </w:rPr>
        <w:t>田炯錦</w:t>
      </w:r>
      <w:r w:rsidRPr="00AB4D4D">
        <w:rPr>
          <w:rFonts w:hAnsi="標楷體" w:hint="eastAsia"/>
        </w:rPr>
        <w:t>、</w:t>
      </w:r>
      <w:r w:rsidRPr="00AB4D4D">
        <w:rPr>
          <w:rFonts w:hAnsi="標楷體" w:hint="eastAsia"/>
          <w:u w:val="single"/>
        </w:rPr>
        <w:t>曹啟文</w:t>
      </w:r>
      <w:r w:rsidRPr="00AB4D4D">
        <w:rPr>
          <w:rFonts w:hAnsi="標楷體" w:hint="eastAsia"/>
        </w:rPr>
        <w:t>等</w:t>
      </w:r>
      <w:r w:rsidRPr="00AB4D4D">
        <w:rPr>
          <w:rFonts w:hAnsi="標楷體"/>
        </w:rPr>
        <w:t>193</w:t>
      </w:r>
      <w:r w:rsidRPr="00AB4D4D">
        <w:rPr>
          <w:rFonts w:hAnsi="標楷體" w:hint="eastAsia"/>
        </w:rPr>
        <w:t>人就憲草第</w:t>
      </w:r>
      <w:r w:rsidRPr="00AB4D4D">
        <w:rPr>
          <w:rFonts w:hAnsi="標楷體"/>
        </w:rPr>
        <w:t>9</w:t>
      </w:r>
      <w:r w:rsidRPr="00AB4D4D">
        <w:rPr>
          <w:rFonts w:hAnsi="標楷體" w:hint="eastAsia"/>
        </w:rPr>
        <w:t>章第</w:t>
      </w:r>
      <w:r w:rsidRPr="00AB4D4D">
        <w:rPr>
          <w:rFonts w:hAnsi="標楷體"/>
        </w:rPr>
        <w:t>95</w:t>
      </w:r>
      <w:r w:rsidRPr="00AB4D4D">
        <w:rPr>
          <w:rFonts w:hAnsi="標楷體" w:hint="eastAsia"/>
        </w:rPr>
        <w:t>條之修正案（提案第</w:t>
      </w:r>
      <w:r w:rsidRPr="00AB4D4D">
        <w:rPr>
          <w:rFonts w:hAnsi="標楷體"/>
        </w:rPr>
        <w:t>141</w:t>
      </w:r>
      <w:r w:rsidRPr="00AB4D4D">
        <w:rPr>
          <w:rFonts w:hAnsi="標楷體" w:hint="eastAsia"/>
        </w:rPr>
        <w:t>號）。第</w:t>
      </w:r>
      <w:r w:rsidRPr="00AB4D4D">
        <w:rPr>
          <w:rFonts w:hAnsi="標楷體"/>
        </w:rPr>
        <w:t>95</w:t>
      </w:r>
      <w:r w:rsidRPr="00AB4D4D">
        <w:rPr>
          <w:rFonts w:hAnsi="標楷體" w:hint="eastAsia"/>
        </w:rPr>
        <w:t>條原文「監察院為國家最高監察機關，行使同意、彈劾及</w:t>
      </w:r>
      <w:r w:rsidRPr="00AB4D4D">
        <w:rPr>
          <w:rFonts w:hAnsi="標楷體" w:hint="eastAsia"/>
          <w:u w:val="single"/>
        </w:rPr>
        <w:t>監察</w:t>
      </w:r>
      <w:r w:rsidRPr="00AB4D4D">
        <w:rPr>
          <w:rFonts w:hAnsi="標楷體" w:hint="eastAsia"/>
        </w:rPr>
        <w:t>權」，擬請修正為：「監察院為國家最高監察機關，行使彈劾、</w:t>
      </w:r>
      <w:r w:rsidRPr="00AB4D4D">
        <w:rPr>
          <w:rFonts w:hAnsi="標楷體" w:hint="eastAsia"/>
          <w:u w:val="single"/>
        </w:rPr>
        <w:t>糾舉</w:t>
      </w:r>
      <w:r w:rsidRPr="00AB4D4D">
        <w:rPr>
          <w:rFonts w:hAnsi="標楷體" w:hint="eastAsia"/>
        </w:rPr>
        <w:t>、懲戒及審計權，對國民大會負其責任。」</w:t>
      </w:r>
      <w:r w:rsidRPr="00AB4D4D">
        <w:rPr>
          <w:rFonts w:hAnsi="標楷體" w:hint="eastAsia"/>
          <w:b/>
          <w:bCs/>
        </w:rPr>
        <w:t>【理由：】</w:t>
      </w:r>
      <w:r w:rsidRPr="00AB4D4D">
        <w:rPr>
          <w:rFonts w:hAnsi="標楷體" w:hint="eastAsia"/>
        </w:rPr>
        <w:t>（三）、增加</w:t>
      </w:r>
      <w:r w:rsidRPr="00AB4D4D">
        <w:rPr>
          <w:rFonts w:hAnsi="標楷體" w:hint="eastAsia"/>
          <w:b/>
          <w:bCs/>
          <w:iCs/>
        </w:rPr>
        <w:t>「懲戒權」</w:t>
      </w:r>
      <w:r w:rsidRPr="00AB4D4D">
        <w:rPr>
          <w:rFonts w:hAnsi="標楷體" w:hint="eastAsia"/>
        </w:rPr>
        <w:t>。監察權離立法權獨立行使，為</w:t>
      </w:r>
      <w:r w:rsidRPr="00AB4D4D">
        <w:rPr>
          <w:rFonts w:hAnsi="標楷體" w:hint="eastAsia"/>
          <w:u w:val="single"/>
        </w:rPr>
        <w:t>孫中山</w:t>
      </w:r>
      <w:r w:rsidRPr="00AB4D4D">
        <w:rPr>
          <w:rFonts w:hAnsi="標楷體" w:hint="eastAsia"/>
        </w:rPr>
        <w:t>先生五權憲法所首揭，</w:t>
      </w:r>
      <w:r w:rsidRPr="00AB4D4D">
        <w:rPr>
          <w:rFonts w:hAnsi="標楷體" w:hint="eastAsia"/>
          <w:u w:val="single"/>
        </w:rPr>
        <w:t>孫</w:t>
      </w:r>
      <w:r w:rsidRPr="00AB4D4D">
        <w:rPr>
          <w:rFonts w:hAnsi="標楷體" w:hint="eastAsia"/>
        </w:rPr>
        <w:t>先生有云：「裁判人民的機關已經獨立，裁判官吏的機關，卻仍在別的機關之下，這也是論理上說不去的，故此機關也要獨立。」所謂裁判官吏的機關，當不僅指提彈劾案而言，亦必包括彈劾案之審理。故依五權憲法創始人之原意，「懲戒權」應屬諸監察院。查歐洲許多國家都在普通法院以外，另設一種裁判所，去專理行政訴訟，一概不由普通法院受理，祇由行政裁判所受理。他們的理由，就是以為行政上的裁判，要有行政上的智識與經驗，這並不是普遍法院所能勝任的，故行政審判，既不歸普通法院，亦不歸行政機關，而另設行政裁判所，以掌其事。彈劾案之審理亦與法院之普通審判不同，主其事者不專靠法律的智識與經驗，還要靠行政的智識與經驗。由此可見彈劾案之審判為特種審判。如軍事審判與行政訴訟應歸軍事法庭及行政裁判所審理，而不應歸普遍法院。在三權制下，彈劾案之審判機關，應隸屬何部門，在學理上固成問題。在五權制下，其應屬諸專司監察之院，當無疑義。又查在政治上欲求效率增強，必須權責分明，凡負某種責任者，應有完成其責任之權力，方能期其有所成就。監察院為全國最高監察機關，吏治之澄清，貪污之清除，一般人都認為係監察院責任。</w:t>
      </w:r>
      <w:r w:rsidRPr="00AB4D4D">
        <w:rPr>
          <w:rFonts w:hAnsi="標楷體"/>
        </w:rPr>
        <w:t>10</w:t>
      </w:r>
      <w:r w:rsidRPr="00AB4D4D">
        <w:rPr>
          <w:rFonts w:hAnsi="標楷體" w:hint="eastAsia"/>
        </w:rPr>
        <w:t>餘年來，凡有貪污舞弊情事暴露，國人均責望監察院有所糾正。但因「懲戒權」不歸監察院行使，故雖負澄清吏治之責任，而無權以完成任務，往往「</w:t>
      </w:r>
      <w:r w:rsidRPr="00AB4D4D">
        <w:rPr>
          <w:rFonts w:hAnsi="標楷體" w:hint="eastAsia"/>
          <w:u w:val="single"/>
        </w:rPr>
        <w:t>彈劾案</w:t>
      </w:r>
      <w:r w:rsidRPr="00AB4D4D">
        <w:rPr>
          <w:rFonts w:hAnsi="標楷體" w:hint="eastAsia"/>
        </w:rPr>
        <w:t>」審查成立移付懲戒後，迄無下文，甚至懲戒處分雖經確定，而懲戒機關之上級機關，為之請准暫緩執行。故監察院對懲治貪污，實係有責任而無權力。管理懲戒之部門，又係有權力而無責任。欲免除此種弊病，當使懲戒機關隸屬監察院，以一事權而專責成。參見，《國民大會實錄（總編）》，國民大會秘書處編印，35年12月。P991- P992。</w:t>
      </w:r>
    </w:p>
  </w:footnote>
  <w:footnote w:id="52">
    <w:p w:rsidR="00684EAD" w:rsidRPr="00AB4D4D" w:rsidRDefault="00684EAD" w:rsidP="000D2A39">
      <w:pPr>
        <w:pStyle w:val="afd"/>
        <w:ind w:left="264" w:hangingChars="120" w:hanging="264"/>
        <w:jc w:val="both"/>
        <w:rPr>
          <w:rFonts w:hAnsi="標楷體"/>
        </w:rPr>
      </w:pPr>
      <w:r w:rsidRPr="00AB4D4D">
        <w:rPr>
          <w:rStyle w:val="aff"/>
          <w:rFonts w:hAnsi="標楷體"/>
        </w:rPr>
        <w:footnoteRef/>
      </w:r>
      <w:r w:rsidRPr="00AB4D4D">
        <w:rPr>
          <w:rFonts w:hAnsi="標楷體"/>
        </w:rPr>
        <w:t xml:space="preserve"> </w:t>
      </w:r>
      <w:r w:rsidRPr="00AB4D4D">
        <w:rPr>
          <w:rFonts w:hAnsi="標楷體" w:hint="eastAsia"/>
        </w:rPr>
        <w:t>代表</w:t>
      </w:r>
      <w:r w:rsidRPr="00AB4D4D">
        <w:rPr>
          <w:rFonts w:hAnsi="標楷體" w:hint="eastAsia"/>
          <w:u w:val="single"/>
        </w:rPr>
        <w:t>谷鳳翔</w:t>
      </w:r>
      <w:r w:rsidRPr="00AB4D4D">
        <w:rPr>
          <w:rFonts w:hAnsi="標楷體" w:hint="eastAsia"/>
        </w:rPr>
        <w:t>等</w:t>
      </w:r>
      <w:r w:rsidRPr="00AB4D4D">
        <w:rPr>
          <w:rFonts w:hAnsi="標楷體"/>
        </w:rPr>
        <w:t>58</w:t>
      </w:r>
      <w:r w:rsidRPr="00AB4D4D">
        <w:rPr>
          <w:rFonts w:hAnsi="標楷體" w:hint="eastAsia"/>
        </w:rPr>
        <w:t>人提對於第</w:t>
      </w:r>
      <w:r w:rsidRPr="00AB4D4D">
        <w:rPr>
          <w:rFonts w:hAnsi="標楷體"/>
        </w:rPr>
        <w:t>95</w:t>
      </w:r>
      <w:r w:rsidRPr="00AB4D4D">
        <w:rPr>
          <w:rFonts w:hAnsi="標楷體" w:hint="eastAsia"/>
        </w:rPr>
        <w:t>條修正為「監察院為國家最高監察機關，行使同意彈劾糾舉懲戒及審計權」</w:t>
      </w:r>
      <w:r w:rsidRPr="00AB4D4D">
        <w:rPr>
          <w:rFonts w:hAnsi="標楷體" w:hint="eastAsia"/>
          <w:b/>
          <w:bCs/>
        </w:rPr>
        <w:t>【理由】：</w:t>
      </w:r>
      <w:r w:rsidRPr="00AB4D4D">
        <w:rPr>
          <w:rFonts w:hAnsi="標楷體" w:hint="eastAsia"/>
        </w:rPr>
        <w:t>一、五權係以其性質配屬於五院，並非治權之平均分割。應有職權如不完整，則其執掌殊難發生效能。</w:t>
      </w:r>
      <w:r w:rsidRPr="00AB4D4D">
        <w:rPr>
          <w:rFonts w:hAnsi="標楷體" w:hint="eastAsia"/>
          <w:b/>
          <w:bCs/>
          <w:iCs/>
        </w:rPr>
        <w:t>彈劾與懲戒，係監察權行使程序上兩階段，自不應劃割分屬兩機關</w:t>
      </w:r>
      <w:r w:rsidRPr="00AB4D4D">
        <w:rPr>
          <w:rFonts w:hAnsi="標楷體" w:hint="eastAsia"/>
        </w:rPr>
        <w:t>。二、就法律性質上，懲戒處分為行政處分，而非司法處分，無屬於司法機關之理由。在五權憲法原則下，自當屬於監察院。三、就</w:t>
      </w:r>
      <w:r w:rsidRPr="00AB4D4D">
        <w:rPr>
          <w:rFonts w:hAnsi="標楷體"/>
        </w:rPr>
        <w:t>10</w:t>
      </w:r>
      <w:r w:rsidRPr="00AB4D4D">
        <w:rPr>
          <w:rFonts w:hAnsi="標楷體" w:hint="eastAsia"/>
        </w:rPr>
        <w:t>餘年來實行經驗，分屬兩機關，徒使程序上遷緩浪費，有損政府之威信。四、懲戒權歸監察院行使，仍係另立機構配屬於監察院，並非由監察委員行使，亦不失其獨立性。五、過去因監察權之割裂分屬於各機關，以致監察權失去作用，貪官污吏，毫無忌憚，不能不引為借鑑。六、各國議會制度，彈劾、懲戒雖分屬於上下兩院，但本憲法係採用五權之原則，不能與各國議會制度強為比擬，分屬兩機關，以失五權憲法之價值。七、主張歸司法院者，其理由不外下列各點。答辯如左：（</w:t>
      </w:r>
      <w:r w:rsidRPr="00AB4D4D">
        <w:rPr>
          <w:rFonts w:hAnsi="標楷體"/>
        </w:rPr>
        <w:t>1</w:t>
      </w:r>
      <w:r w:rsidRPr="00AB4D4D">
        <w:rPr>
          <w:rFonts w:hAnsi="標楷體" w:hint="eastAsia"/>
        </w:rPr>
        <w:t>）懲戒字樣，係取自日本懲吏院，懲吏院屬司法機關，故我國公務員懲戒，亦屬司法機關，此係獄狃於大陸法系之範疇，不明五權之特質。（</w:t>
      </w:r>
      <w:r w:rsidRPr="00AB4D4D">
        <w:rPr>
          <w:rFonts w:hAnsi="標楷體"/>
        </w:rPr>
        <w:t>2</w:t>
      </w:r>
      <w:r w:rsidRPr="00AB4D4D">
        <w:rPr>
          <w:rFonts w:hAnsi="標楷體" w:hint="eastAsia"/>
        </w:rPr>
        <w:t>）懲戒權之行使，寓有保障公務員之意義，然以</w:t>
      </w:r>
      <w:r w:rsidRPr="00AB4D4D">
        <w:rPr>
          <w:rFonts w:hAnsi="標楷體"/>
        </w:rPr>
        <w:t>10</w:t>
      </w:r>
      <w:r w:rsidRPr="00AB4D4D">
        <w:rPr>
          <w:rFonts w:hAnsi="標楷體" w:hint="eastAsia"/>
        </w:rPr>
        <w:t>餘年之經驗，實得其反，流弊滋多。（</w:t>
      </w:r>
      <w:r w:rsidRPr="00AB4D4D">
        <w:rPr>
          <w:rFonts w:hAnsi="標楷體"/>
        </w:rPr>
        <w:t>3</w:t>
      </w:r>
      <w:r w:rsidRPr="00AB4D4D">
        <w:rPr>
          <w:rFonts w:hAnsi="標楷體" w:hint="eastAsia"/>
        </w:rPr>
        <w:t>）「律師之懲戒，屬於司法機關，公務員之懲戒，亦應屬於司法機關」此係望文生義，不知公務員之懲戒與律師之懲戒，雖同名曰懲戒，其根據不同，對象亦異，自不以此即論為應歸於司法院。（</w:t>
      </w:r>
      <w:r w:rsidRPr="00AB4D4D">
        <w:rPr>
          <w:rFonts w:hAnsi="標楷體"/>
        </w:rPr>
        <w:t>4</w:t>
      </w:r>
      <w:r w:rsidRPr="00AB4D4D">
        <w:rPr>
          <w:rFonts w:hAnsi="標楷體" w:hint="eastAsia"/>
        </w:rPr>
        <w:t>）謂懲戒權屬於監察院，有礙審判之獨立，殊不知審判與懲戒，係屬兩事，本憲法草案第</w:t>
      </w:r>
      <w:r w:rsidRPr="00AB4D4D">
        <w:rPr>
          <w:rFonts w:hAnsi="標楷體"/>
        </w:rPr>
        <w:t>102</w:t>
      </w:r>
      <w:r w:rsidRPr="00AB4D4D">
        <w:rPr>
          <w:rFonts w:hAnsi="標楷體" w:hint="eastAsia"/>
        </w:rPr>
        <w:t>條第</w:t>
      </w:r>
      <w:r w:rsidRPr="00AB4D4D">
        <w:rPr>
          <w:rFonts w:hAnsi="標楷體"/>
        </w:rPr>
        <w:t>2</w:t>
      </w:r>
      <w:r w:rsidRPr="00AB4D4D">
        <w:rPr>
          <w:rFonts w:hAnsi="標楷體" w:hint="eastAsia"/>
        </w:rPr>
        <w:t>項下半段已明白規定，如係涉及刑事，應移送法院辦理，其關於司法審判部分，自應歸於司法機關，現行制度亦然，何妨於司法審判之獨立。總之，懲戒權歸監察院，不妨礙司法審判之獨立。懲戒權歸司法院，反分裂監察權。參見，《國民大會實錄（總編）》，國民大會秘書處編印，35年12月。P1366- P1367。</w:t>
      </w:r>
    </w:p>
  </w:footnote>
  <w:footnote w:id="53">
    <w:p w:rsidR="00684EAD" w:rsidRPr="00AB4D4D" w:rsidRDefault="00684EAD" w:rsidP="00BE26EA">
      <w:pPr>
        <w:pStyle w:val="afd"/>
        <w:ind w:left="264" w:hangingChars="120" w:hanging="264"/>
        <w:jc w:val="both"/>
        <w:rPr>
          <w:rFonts w:hAnsi="標楷體"/>
        </w:rPr>
      </w:pPr>
      <w:r w:rsidRPr="00AB4D4D">
        <w:rPr>
          <w:rStyle w:val="aff"/>
        </w:rPr>
        <w:footnoteRef/>
      </w:r>
      <w:r w:rsidRPr="00AB4D4D">
        <w:t xml:space="preserve"> </w:t>
      </w:r>
      <w:r w:rsidRPr="00AB4D4D">
        <w:rPr>
          <w:rFonts w:hint="eastAsia"/>
        </w:rPr>
        <w:t>代</w:t>
      </w:r>
      <w:r w:rsidRPr="00AB4D4D">
        <w:rPr>
          <w:rFonts w:hAnsi="標楷體" w:hint="eastAsia"/>
        </w:rPr>
        <w:t>表</w:t>
      </w:r>
      <w:r w:rsidRPr="00AB4D4D">
        <w:rPr>
          <w:rFonts w:hAnsi="標楷體" w:hint="eastAsia"/>
          <w:u w:val="single"/>
        </w:rPr>
        <w:t>賀揚靈</w:t>
      </w:r>
      <w:r w:rsidRPr="00AB4D4D">
        <w:rPr>
          <w:rFonts w:hAnsi="標楷體" w:hint="eastAsia"/>
        </w:rPr>
        <w:t>等</w:t>
      </w:r>
      <w:r w:rsidRPr="00AB4D4D">
        <w:rPr>
          <w:rFonts w:hAnsi="標楷體"/>
        </w:rPr>
        <w:t>21</w:t>
      </w:r>
      <w:r w:rsidRPr="00AB4D4D">
        <w:rPr>
          <w:rFonts w:hAnsi="標楷體" w:hint="eastAsia"/>
        </w:rPr>
        <w:t>人提擬請修正中華民國憲法草案各條案（提案第</w:t>
      </w:r>
      <w:r w:rsidRPr="00AB4D4D">
        <w:rPr>
          <w:rFonts w:hAnsi="標楷體"/>
        </w:rPr>
        <w:t>417</w:t>
      </w:r>
      <w:r w:rsidRPr="00AB4D4D">
        <w:rPr>
          <w:rFonts w:hAnsi="標楷體" w:hint="eastAsia"/>
        </w:rPr>
        <w:t>號）（十八）、原案第</w:t>
      </w:r>
      <w:r w:rsidRPr="00AB4D4D">
        <w:rPr>
          <w:rFonts w:hAnsi="標楷體"/>
        </w:rPr>
        <w:t>95</w:t>
      </w:r>
      <w:r w:rsidRPr="00AB4D4D">
        <w:rPr>
          <w:rFonts w:hAnsi="標楷體" w:hint="eastAsia"/>
        </w:rPr>
        <w:t>條修正為：「監察院為國家最高監察機關，由國民大會選出監察委員組織，行使彈劾權懲戒權及審計權，其委員名額之分配如左：一、由國民大會區域代表選出委員○○○人。二、由國民大會職業代表選出委員○○○人。三、由國民大會少數民族代表選出委員○○○人。四、由國民大會僑居國外國民代表選出委員○○○人。」（十九）、原案第</w:t>
      </w:r>
      <w:r w:rsidRPr="00AB4D4D">
        <w:rPr>
          <w:rFonts w:hAnsi="標楷體"/>
        </w:rPr>
        <w:t>96</w:t>
      </w:r>
      <w:r w:rsidRPr="00AB4D4D">
        <w:rPr>
          <w:rFonts w:hAnsi="標楷體" w:hint="eastAsia"/>
        </w:rPr>
        <w:t>條刪。（二十）、原案第</w:t>
      </w:r>
      <w:r w:rsidRPr="00AB4D4D">
        <w:rPr>
          <w:rFonts w:hAnsi="標楷體"/>
        </w:rPr>
        <w:t>99</w:t>
      </w:r>
      <w:r w:rsidRPr="00AB4D4D">
        <w:rPr>
          <w:rFonts w:hAnsi="標楷體" w:hint="eastAsia"/>
        </w:rPr>
        <w:t>條刪。（二一）、原案第</w:t>
      </w:r>
      <w:r w:rsidRPr="00AB4D4D">
        <w:rPr>
          <w:rFonts w:hAnsi="標楷體"/>
        </w:rPr>
        <w:t>100</w:t>
      </w:r>
      <w:r w:rsidRPr="00AB4D4D">
        <w:rPr>
          <w:rFonts w:hAnsi="標楷體" w:hint="eastAsia"/>
        </w:rPr>
        <w:t>條修正為：「監察院為行使彈劾權懲戒權及審計權，得分設彈劾委員會，懲戒委員會及審計委員會，由監察委員分別充任之。審計委員會設審計長</w:t>
      </w:r>
      <w:r w:rsidRPr="00AB4D4D">
        <w:rPr>
          <w:rFonts w:hAnsi="標楷體"/>
        </w:rPr>
        <w:t>1</w:t>
      </w:r>
      <w:r w:rsidRPr="00AB4D4D">
        <w:rPr>
          <w:rFonts w:hAnsi="標楷體" w:hint="eastAsia"/>
        </w:rPr>
        <w:t>人，由全體監察委員選舉之，審計及協審若干人，由監察院長提請任命之，其於每年度決算，應於審核結束</w:t>
      </w:r>
      <w:r w:rsidRPr="00AB4D4D">
        <w:rPr>
          <w:rFonts w:hAnsi="標楷體"/>
        </w:rPr>
        <w:t>3</w:t>
      </w:r>
      <w:r w:rsidRPr="00AB4D4D">
        <w:rPr>
          <w:rFonts w:hAnsi="標楷體" w:hint="eastAsia"/>
        </w:rPr>
        <w:t>個月內，提出審核報告於立法院。」。（二三）、原案第</w:t>
      </w:r>
      <w:r w:rsidRPr="00AB4D4D">
        <w:rPr>
          <w:rFonts w:hAnsi="標楷體"/>
        </w:rPr>
        <w:t>102</w:t>
      </w:r>
      <w:r w:rsidRPr="00AB4D4D">
        <w:rPr>
          <w:rFonts w:hAnsi="標楷體" w:hint="eastAsia"/>
        </w:rPr>
        <w:t>條第</w:t>
      </w:r>
      <w:r w:rsidRPr="00AB4D4D">
        <w:rPr>
          <w:rFonts w:hAnsi="標楷體"/>
        </w:rPr>
        <w:t>1</w:t>
      </w:r>
      <w:r w:rsidRPr="00AB4D4D">
        <w:rPr>
          <w:rFonts w:hAnsi="標楷體" w:hint="eastAsia"/>
        </w:rPr>
        <w:t>款內「送交行政院及其各部會」改為「送交各該主管機關或其上級機關」。第</w:t>
      </w:r>
      <w:r w:rsidRPr="00AB4D4D">
        <w:rPr>
          <w:rFonts w:hAnsi="標楷體"/>
        </w:rPr>
        <w:t>2</w:t>
      </w:r>
      <w:r w:rsidRPr="00AB4D4D">
        <w:rPr>
          <w:rFonts w:hAnsi="標楷體" w:hint="eastAsia"/>
        </w:rPr>
        <w:t>款內「對於行政院及其各部會人員」改為「對其他各院部會人員」。（二四）、原案第</w:t>
      </w:r>
      <w:r w:rsidRPr="00AB4D4D">
        <w:rPr>
          <w:rFonts w:hAnsi="標楷體"/>
        </w:rPr>
        <w:t>103</w:t>
      </w:r>
      <w:r w:rsidRPr="00AB4D4D">
        <w:rPr>
          <w:rFonts w:hAnsi="標楷體" w:hint="eastAsia"/>
        </w:rPr>
        <w:t>條後半段「須經監察委員</w:t>
      </w:r>
      <w:r w:rsidRPr="00AB4D4D">
        <w:rPr>
          <w:rFonts w:hAnsi="標楷體"/>
        </w:rPr>
        <w:t>3</w:t>
      </w:r>
      <w:r w:rsidRPr="00AB4D4D">
        <w:rPr>
          <w:rFonts w:hAnsi="標楷體" w:hint="eastAsia"/>
        </w:rPr>
        <w:t>人以上提議，</w:t>
      </w:r>
      <w:r w:rsidRPr="00AB4D4D">
        <w:rPr>
          <w:rFonts w:hAnsi="標楷體"/>
        </w:rPr>
        <w:t>9</w:t>
      </w:r>
      <w:r w:rsidRPr="00AB4D4D">
        <w:rPr>
          <w:rFonts w:hAnsi="標楷體" w:hint="eastAsia"/>
        </w:rPr>
        <w:t>人以上之審查及決定，始得提出送由懲戒機關依法辦理」改為「須經監察委員</w:t>
      </w:r>
      <w:r w:rsidRPr="00AB4D4D">
        <w:rPr>
          <w:rFonts w:hAnsi="標楷體"/>
        </w:rPr>
        <w:t>3</w:t>
      </w:r>
      <w:r w:rsidRPr="00AB4D4D">
        <w:rPr>
          <w:rFonts w:hAnsi="標楷體" w:hint="eastAsia"/>
        </w:rPr>
        <w:t>人以上提議，彈劾委員會之審查及決定，移送懲戒委員會依法辦理」。參見，《國民大會實錄（總編）》，國民大會秘書處編印，35年12月。P1343- P1348。</w:t>
      </w:r>
    </w:p>
  </w:footnote>
  <w:footnote w:id="54">
    <w:p w:rsidR="00684EAD" w:rsidRPr="00AB4D4D" w:rsidRDefault="00684EAD" w:rsidP="00BE26EA">
      <w:pPr>
        <w:pStyle w:val="afd"/>
        <w:ind w:left="264" w:hangingChars="120" w:hanging="264"/>
      </w:pPr>
      <w:r w:rsidRPr="00AB4D4D">
        <w:rPr>
          <w:rStyle w:val="aff"/>
        </w:rPr>
        <w:footnoteRef/>
      </w:r>
      <w:r w:rsidRPr="00AB4D4D">
        <w:rPr>
          <w:rFonts w:hint="eastAsia"/>
        </w:rPr>
        <w:t xml:space="preserve"> 見李建良，監察院對行政裁量的審查及其界限，監察調查理論與實務策進之研究（監察院97年度監察法制學術研討會），監察院出版，頁118-120。</w:t>
      </w:r>
    </w:p>
  </w:footnote>
  <w:footnote w:id="55">
    <w:p w:rsidR="00684EAD" w:rsidRPr="00AB4D4D" w:rsidRDefault="00684EAD" w:rsidP="00BE26EA">
      <w:pPr>
        <w:pStyle w:val="afd"/>
        <w:ind w:left="264" w:hangingChars="120" w:hanging="264"/>
        <w:jc w:val="both"/>
      </w:pPr>
      <w:r w:rsidRPr="00AB4D4D">
        <w:rPr>
          <w:rStyle w:val="aff"/>
        </w:rPr>
        <w:footnoteRef/>
      </w:r>
      <w:r w:rsidRPr="00AB4D4D">
        <w:rPr>
          <w:rFonts w:hint="eastAsia"/>
        </w:rPr>
        <w:t xml:space="preserve"> 李建良教授所稱「監察院若能扮演制衡的角色，發揮牽掣權力的功能，則台灣民主憲政的賡續成長，或許還有一絲絲的希望，而監察院的存在也才能取得一點點的正當性。」等語之實踐，</w:t>
      </w:r>
      <w:r w:rsidRPr="00AB4D4D">
        <w:rPr>
          <w:rFonts w:hint="eastAsia"/>
          <w:b/>
        </w:rPr>
        <w:t>正如法國哲學家米歇爾·傅柯（</w:t>
      </w:r>
      <w:r w:rsidRPr="00AB4D4D">
        <w:rPr>
          <w:b/>
        </w:rPr>
        <w:t>Michel Foucault</w:t>
      </w:r>
      <w:r w:rsidRPr="00AB4D4D">
        <w:rPr>
          <w:rFonts w:hint="eastAsia"/>
          <w:b/>
        </w:rPr>
        <w:t>）西元</w:t>
      </w:r>
      <w:r w:rsidRPr="00AB4D4D">
        <w:rPr>
          <w:b/>
        </w:rPr>
        <w:t>1984</w:t>
      </w:r>
      <w:r w:rsidRPr="00AB4D4D">
        <w:rPr>
          <w:rFonts w:hint="eastAsia"/>
          <w:b/>
        </w:rPr>
        <w:t>年在法蘭西公學院（</w:t>
      </w:r>
      <w:r w:rsidRPr="00AB4D4D">
        <w:rPr>
          <w:b/>
        </w:rPr>
        <w:t>Coll</w:t>
      </w:r>
      <w:r w:rsidRPr="00AB4D4D">
        <w:rPr>
          <w:b/>
        </w:rPr>
        <w:t>è</w:t>
      </w:r>
      <w:r w:rsidRPr="00AB4D4D">
        <w:rPr>
          <w:b/>
        </w:rPr>
        <w:t>ge de France</w:t>
      </w:r>
      <w:r w:rsidRPr="00AB4D4D">
        <w:rPr>
          <w:rFonts w:hint="eastAsia"/>
          <w:b/>
        </w:rPr>
        <w:t>）於其生命終結前之最後課程「對自己與他人的治理：說真話的勇氣」之分析，從古希臘時期蘇格拉底之死亡，探討民主與倫理的不同，當時以貝殼法放逐法（</w:t>
      </w:r>
      <w:r w:rsidRPr="00AB4D4D">
        <w:rPr>
          <w:b/>
        </w:rPr>
        <w:t>ὄστρακον</w:t>
      </w:r>
      <w:r w:rsidRPr="00AB4D4D">
        <w:rPr>
          <w:rFonts w:hint="eastAsia"/>
          <w:b/>
        </w:rPr>
        <w:t>；</w:t>
      </w:r>
      <w:r w:rsidRPr="00AB4D4D">
        <w:rPr>
          <w:b/>
        </w:rPr>
        <w:t>Ostracism</w:t>
      </w:r>
      <w:r w:rsidRPr="00AB4D4D">
        <w:rPr>
          <w:rFonts w:hint="eastAsia"/>
          <w:b/>
        </w:rPr>
        <w:t>）</w:t>
      </w:r>
      <w:r w:rsidRPr="00AB4D4D">
        <w:rPr>
          <w:b/>
        </w:rPr>
        <w:t>-</w:t>
      </w:r>
      <w:r w:rsidRPr="00AB4D4D">
        <w:rPr>
          <w:rFonts w:hint="eastAsia"/>
          <w:b/>
        </w:rPr>
        <w:t>透過公民投票過程流放異議或不受歡迎人士，造成民主自滅，換言之，民主固然建立在平等原則下，但社會之倫理價值卻有高低之區分。德國哲學家康德進而認為一個國家的成文憲法之所以具有「至高無上性」，其前提必須建立於「法律存在的目的不是為管理國家，而是為人民長久的福祉」，故其稱「沒有民主的法治是虛空，無法治的民主是盲目」（Law Without Democracy is empty, Democracy Without Law is blind.）。對於康德而言，憲政的主要問題即為「一個國家的憲法最終建立在其公民的道德上，而公民的道德則反過來又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是則，監察院作為憲法最高監察機關，若無時時刻刻念茲在茲，以「維護人性尊嚴，保障憲法核心價值」為使命，任意屈從其他憲政機關之違法濫權，必將喪失其存立基礎。</w:t>
      </w:r>
    </w:p>
  </w:footnote>
  <w:footnote w:id="56">
    <w:p w:rsidR="00684EAD" w:rsidRPr="00AB4D4D" w:rsidRDefault="00684EAD" w:rsidP="000D2A39">
      <w:pPr>
        <w:pStyle w:val="afd"/>
        <w:ind w:left="264" w:hangingChars="120" w:hanging="264"/>
      </w:pPr>
      <w:r w:rsidRPr="00AB4D4D">
        <w:rPr>
          <w:rStyle w:val="aff"/>
        </w:rPr>
        <w:footnoteRef/>
      </w:r>
      <w:r w:rsidRPr="00AB4D4D">
        <w:t xml:space="preserve"> </w:t>
      </w:r>
      <w:r w:rsidRPr="00AB4D4D">
        <w:rPr>
          <w:rFonts w:hint="eastAsia"/>
        </w:rPr>
        <w:t>例如司法院釋字第181及238號解釋</w:t>
      </w:r>
      <w:r w:rsidRPr="00AB4D4D">
        <w:rPr>
          <w:rFonts w:hAnsi="標楷體" w:hint="eastAsia"/>
        </w:rPr>
        <w:t>，</w:t>
      </w:r>
      <w:r w:rsidRPr="00AB4D4D">
        <w:rPr>
          <w:rFonts w:hint="eastAsia"/>
        </w:rPr>
        <w:t>涉及非常上訴審之範圍</w:t>
      </w:r>
      <w:r w:rsidRPr="00AB4D4D">
        <w:rPr>
          <w:rFonts w:hAnsi="標楷體" w:hint="eastAsia"/>
        </w:rPr>
        <w:t>，</w:t>
      </w:r>
      <w:r w:rsidRPr="00AB4D4D">
        <w:rPr>
          <w:rFonts w:hint="eastAsia"/>
        </w:rPr>
        <w:t>因監察院聲請而放寬聲請非常上訴之限制</w:t>
      </w:r>
      <w:r w:rsidRPr="00AB4D4D">
        <w:rPr>
          <w:rFonts w:hAnsi="標楷體" w:hint="eastAsia"/>
        </w:rPr>
        <w:t>，</w:t>
      </w:r>
      <w:r w:rsidRPr="00AB4D4D">
        <w:rPr>
          <w:rFonts w:hint="eastAsia"/>
        </w:rPr>
        <w:t>為我國刑事訴訟法教科書之重要案例</w:t>
      </w:r>
      <w:r w:rsidRPr="00AB4D4D">
        <w:rPr>
          <w:rFonts w:hAnsi="標楷體" w:hint="eastAsia"/>
        </w:rPr>
        <w:t>。</w:t>
      </w:r>
    </w:p>
  </w:footnote>
  <w:footnote w:id="57">
    <w:p w:rsidR="00684EAD" w:rsidRPr="00AB4D4D" w:rsidRDefault="00684EAD" w:rsidP="0049299A">
      <w:pPr>
        <w:pStyle w:val="afd"/>
      </w:pPr>
      <w:r w:rsidRPr="00AB4D4D">
        <w:rPr>
          <w:rStyle w:val="aff"/>
        </w:rPr>
        <w:footnoteRef/>
      </w:r>
      <w:r w:rsidRPr="00AB4D4D">
        <w:t xml:space="preserve"> </w:t>
      </w:r>
      <w:r w:rsidRPr="00AB4D4D">
        <w:rPr>
          <w:rFonts w:hint="eastAsia"/>
        </w:rPr>
        <w:t>相關論述詳見</w:t>
      </w:r>
      <w:r w:rsidRPr="00AB4D4D">
        <w:rPr>
          <w:rFonts w:hAnsi="標楷體" w:hint="eastAsia"/>
        </w:rPr>
        <w:t>，</w:t>
      </w:r>
      <w:r w:rsidRPr="00AB4D4D">
        <w:rPr>
          <w:rFonts w:hint="eastAsia"/>
        </w:rPr>
        <w:t>陳新民</w:t>
      </w:r>
      <w:r w:rsidRPr="00AB4D4D">
        <w:rPr>
          <w:rFonts w:hAnsi="標楷體" w:hint="eastAsia"/>
        </w:rPr>
        <w:t>，</w:t>
      </w:r>
      <w:r w:rsidRPr="00AB4D4D">
        <w:rPr>
          <w:rFonts w:hint="eastAsia"/>
        </w:rPr>
        <w:t>論公務員忠誠義務</w:t>
      </w:r>
      <w:r w:rsidRPr="00AB4D4D">
        <w:rPr>
          <w:rFonts w:hAnsi="標楷體" w:hint="eastAsia"/>
        </w:rPr>
        <w:t>，</w:t>
      </w:r>
      <w:r w:rsidRPr="00AB4D4D">
        <w:rPr>
          <w:rFonts w:hint="eastAsia"/>
        </w:rPr>
        <w:t>憲法基本權利之基本理論</w:t>
      </w:r>
      <w:r w:rsidRPr="00AB4D4D">
        <w:rPr>
          <w:rFonts w:hAnsi="標楷體" w:hint="eastAsia"/>
        </w:rPr>
        <w:t>（</w:t>
      </w:r>
      <w:r w:rsidRPr="00AB4D4D">
        <w:rPr>
          <w:rFonts w:hint="eastAsia"/>
        </w:rPr>
        <w:t>下</w:t>
      </w:r>
      <w:r w:rsidRPr="00AB4D4D">
        <w:rPr>
          <w:rFonts w:hAnsi="標楷體" w:hint="eastAsia"/>
        </w:rPr>
        <w:t>），頁</w:t>
      </w:r>
      <w:r w:rsidRPr="00AB4D4D">
        <w:t>140-201</w:t>
      </w:r>
      <w:r w:rsidRPr="00AB4D4D">
        <w:rPr>
          <w:rFonts w:hAnsi="標楷體" w:hint="eastAsia"/>
        </w:rPr>
        <w:t>。</w:t>
      </w:r>
    </w:p>
  </w:footnote>
  <w:footnote w:id="58">
    <w:p w:rsidR="00684EAD" w:rsidRPr="00AB4D4D" w:rsidRDefault="00684EAD" w:rsidP="00714091">
      <w:pPr>
        <w:pStyle w:val="afd"/>
        <w:ind w:left="264" w:hangingChars="120" w:hanging="264"/>
        <w:jc w:val="both"/>
      </w:pPr>
      <w:r w:rsidRPr="00AB4D4D">
        <w:rPr>
          <w:rStyle w:val="aff"/>
        </w:rPr>
        <w:footnoteRef/>
      </w:r>
      <w:r w:rsidRPr="00AB4D4D">
        <w:rPr>
          <w:rFonts w:hint="eastAsia"/>
        </w:rPr>
        <w:t xml:space="preserve"> 當然亦有學者認為無庸忠誠維護憲法</w:t>
      </w:r>
      <w:r w:rsidRPr="00AB4D4D">
        <w:rPr>
          <w:rFonts w:hAnsi="標楷體" w:hint="eastAsia"/>
        </w:rPr>
        <w:t>，</w:t>
      </w:r>
      <w:r w:rsidRPr="00AB4D4D">
        <w:rPr>
          <w:rFonts w:hint="eastAsia"/>
        </w:rPr>
        <w:t>其稱</w:t>
      </w:r>
      <w:r w:rsidRPr="00AB4D4D">
        <w:rPr>
          <w:rFonts w:hAnsi="標楷體" w:hint="eastAsia"/>
        </w:rPr>
        <w:t>：「</w:t>
      </w:r>
      <w:r w:rsidRPr="00AB4D4D">
        <w:rPr>
          <w:rFonts w:hint="eastAsia"/>
        </w:rPr>
        <w:t>在規範論理上，我們是否應當承認憲法規範權威的可分性，</w:t>
      </w:r>
      <w:r w:rsidRPr="00AB4D4D">
        <w:rPr>
          <w:rFonts w:hint="eastAsia"/>
          <w:b/>
        </w:rPr>
        <w:t xml:space="preserve">進而容許人們對憲法規範作選擇性的服從／抵制呢？或者，我們應當堅持以整部憲法文本作為權威論述的單元，而僅能容許像是Ronald Dworkin這樣的憲政的解釋主義者排除少數未受憲法文本所固鎖的憲政錯誤呢？這個Adam Samaha稱之為憲法權威的「辛納屈問題」（”the Sinatra problem”）， </w:t>
      </w:r>
      <w:r w:rsidRPr="00AB4D4D">
        <w:rPr>
          <w:rFonts w:hint="eastAsia"/>
        </w:rPr>
        <w:t>當代有關死人之手問題之憲法理論論辯的一項重要爭點，還需要我們做更深刻的思辯與反省。本文初步認為，這是死人之手問題帶給我們的另一個政治道德判斷習題</w:t>
      </w:r>
      <w:r w:rsidRPr="00AB4D4D">
        <w:rPr>
          <w:rFonts w:hAnsi="標楷體" w:hint="eastAsia"/>
        </w:rPr>
        <w:t>。」該項論點，意指「我們人民」究竟所指為何，在美國司法權在權力分立上具有相當優越地位，如羅斯福新政，聯邦最高法院法官採保守主義立場，反對凱因斯理論，強力杯葛，並藉以逼退聯邦最高法院法官，達成新政目的。在我國司法權從未建立如美國強大與超然地位，貿然主張，會產生不可測之憲政風險，無助化解政治歧異。退而言之，此一問題，在德國基本法上其係為修憲問題，例如德國基本法第139條規定：為「解救德國人民肅清國社主義及黷武主義」制定之法規，不受本基本法規定之影響，學者稱為所謂防衛性民主，並不宜交由釋憲機關處理，我國司法院大法官宜遵守整部憲法規範架構處理。見蘇彥圖，憲政民主的死人之手問題－以反省憲法的規範權威為中心，憲政主義與人權理論的移植與深耕—憲法解釋之理論與實務（第九輯），中央研究院，頁135-199。</w:t>
      </w:r>
    </w:p>
  </w:footnote>
  <w:footnote w:id="59">
    <w:p w:rsidR="00684EAD" w:rsidRPr="00AB4D4D" w:rsidRDefault="00684EAD" w:rsidP="00714091">
      <w:pPr>
        <w:pStyle w:val="afd"/>
        <w:ind w:left="264" w:hangingChars="120" w:hanging="264"/>
        <w:jc w:val="both"/>
      </w:pPr>
      <w:r w:rsidRPr="00AB4D4D">
        <w:rPr>
          <w:rStyle w:val="aff"/>
        </w:rPr>
        <w:footnoteRef/>
      </w:r>
      <w:r w:rsidRPr="00AB4D4D">
        <w:t xml:space="preserve"> </w:t>
      </w:r>
      <w:r w:rsidRPr="00AB4D4D">
        <w:rPr>
          <w:rFonts w:hint="eastAsia"/>
        </w:rPr>
        <w:t>學者許宗力認為</w:t>
      </w:r>
      <w:r w:rsidRPr="00AB4D4D">
        <w:rPr>
          <w:rFonts w:hAnsi="標楷體" w:hint="eastAsia"/>
        </w:rPr>
        <w:t>：「當一個國家的憲法知識越普及，國民的憲法意識越提高，憲法法官釋憲功能的發揮也自然就越受人們高度的期待。行憲半世紀來的台灣一路顛仆走來，特別是經歷近十年來解嚴與停止動員戡亂的發展，已隱然擠入「正牌」憲政國家之林，人民憲法意識既已顯著提高，</w:t>
      </w:r>
      <w:r w:rsidRPr="00AB4D4D">
        <w:rPr>
          <w:rFonts w:hAnsi="標楷體" w:hint="eastAsia"/>
          <w:b/>
        </w:rPr>
        <w:t>對大法官的釋憲功能當然就懷有相對應的期待。對人們的這番期待，任何有權者都有義務使其儘可能地獲得滿足。而釋憲功能之能否如人們所期盼地盡情發揮，關鍵則在於聲請釋憲的管道是否暢通，以及釋憲決定的公正性與正確性是否都能普遍受到人們的信賴與接受。</w:t>
      </w:r>
      <w:r w:rsidRPr="00AB4D4D">
        <w:rPr>
          <w:rFonts w:hAnsi="標楷體" w:hint="eastAsia"/>
        </w:rPr>
        <w:t>要達成所有這些目的，當然有賴憲法訴訟法適切的因應設計。」見許宗力（1998）。大法官審理案件法與修正草案之檢視－以大法官釋憲權行使之程序及範圍的相關規定為中心。憲政時代，24(3)，頁161。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5F2D99"/>
    <w:multiLevelType w:val="hybridMultilevel"/>
    <w:tmpl w:val="AE7A044A"/>
    <w:lvl w:ilvl="0" w:tplc="BA34CD32">
      <w:start w:val="1"/>
      <w:numFmt w:val="decimal"/>
      <w:lvlText w:val="%1."/>
      <w:lvlJc w:val="left"/>
      <w:pPr>
        <w:tabs>
          <w:tab w:val="num" w:pos="1288"/>
        </w:tabs>
        <w:ind w:left="1288" w:hanging="360"/>
      </w:pPr>
    </w:lvl>
    <w:lvl w:ilvl="1" w:tplc="04090019">
      <w:start w:val="1"/>
      <w:numFmt w:val="ideographTraditional"/>
      <w:lvlText w:val="%2、"/>
      <w:lvlJc w:val="left"/>
      <w:pPr>
        <w:tabs>
          <w:tab w:val="num" w:pos="1888"/>
        </w:tabs>
        <w:ind w:left="1888" w:hanging="480"/>
      </w:pPr>
    </w:lvl>
    <w:lvl w:ilvl="2" w:tplc="0409001B">
      <w:start w:val="1"/>
      <w:numFmt w:val="lowerRoman"/>
      <w:lvlText w:val="%3."/>
      <w:lvlJc w:val="right"/>
      <w:pPr>
        <w:tabs>
          <w:tab w:val="num" w:pos="2368"/>
        </w:tabs>
        <w:ind w:left="2368" w:hanging="480"/>
      </w:pPr>
    </w:lvl>
    <w:lvl w:ilvl="3" w:tplc="0409000F">
      <w:start w:val="1"/>
      <w:numFmt w:val="decimal"/>
      <w:lvlText w:val="%4."/>
      <w:lvlJc w:val="left"/>
      <w:pPr>
        <w:tabs>
          <w:tab w:val="num" w:pos="2848"/>
        </w:tabs>
        <w:ind w:left="2848" w:hanging="480"/>
      </w:pPr>
    </w:lvl>
    <w:lvl w:ilvl="4" w:tplc="04090019">
      <w:start w:val="1"/>
      <w:numFmt w:val="ideographTraditional"/>
      <w:lvlText w:val="%5、"/>
      <w:lvlJc w:val="left"/>
      <w:pPr>
        <w:tabs>
          <w:tab w:val="num" w:pos="3328"/>
        </w:tabs>
        <w:ind w:left="3328" w:hanging="480"/>
      </w:pPr>
    </w:lvl>
    <w:lvl w:ilvl="5" w:tplc="0409001B">
      <w:start w:val="1"/>
      <w:numFmt w:val="lowerRoman"/>
      <w:lvlText w:val="%6."/>
      <w:lvlJc w:val="right"/>
      <w:pPr>
        <w:tabs>
          <w:tab w:val="num" w:pos="3808"/>
        </w:tabs>
        <w:ind w:left="3808" w:hanging="480"/>
      </w:pPr>
    </w:lvl>
    <w:lvl w:ilvl="6" w:tplc="0409000F">
      <w:start w:val="1"/>
      <w:numFmt w:val="decimal"/>
      <w:lvlText w:val="%7."/>
      <w:lvlJc w:val="left"/>
      <w:pPr>
        <w:tabs>
          <w:tab w:val="num" w:pos="4288"/>
        </w:tabs>
        <w:ind w:left="4288" w:hanging="480"/>
      </w:pPr>
    </w:lvl>
    <w:lvl w:ilvl="7" w:tplc="04090019">
      <w:start w:val="1"/>
      <w:numFmt w:val="ideographTraditional"/>
      <w:lvlText w:val="%8、"/>
      <w:lvlJc w:val="left"/>
      <w:pPr>
        <w:tabs>
          <w:tab w:val="num" w:pos="4768"/>
        </w:tabs>
        <w:ind w:left="4768" w:hanging="480"/>
      </w:pPr>
    </w:lvl>
    <w:lvl w:ilvl="8" w:tplc="0409001B">
      <w:start w:val="1"/>
      <w:numFmt w:val="lowerRoman"/>
      <w:lvlText w:val="%9."/>
      <w:lvlJc w:val="right"/>
      <w:pPr>
        <w:tabs>
          <w:tab w:val="num" w:pos="5248"/>
        </w:tabs>
        <w:ind w:left="5248" w:hanging="480"/>
      </w:pPr>
    </w:lvl>
  </w:abstractNum>
  <w:abstractNum w:abstractNumId="2" w15:restartNumberingAfterBreak="0">
    <w:nsid w:val="140E010C"/>
    <w:multiLevelType w:val="multilevel"/>
    <w:tmpl w:val="59742F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592E22"/>
    <w:multiLevelType w:val="hybridMultilevel"/>
    <w:tmpl w:val="CCF6B6A4"/>
    <w:lvl w:ilvl="0" w:tplc="57DC03B6">
      <w:start w:val="1"/>
      <w:numFmt w:val="decimal"/>
      <w:lvlText w:val="%1."/>
      <w:lvlJc w:val="left"/>
      <w:pPr>
        <w:tabs>
          <w:tab w:val="num" w:pos="1288"/>
        </w:tabs>
        <w:ind w:left="1288" w:hanging="360"/>
      </w:pPr>
    </w:lvl>
    <w:lvl w:ilvl="1" w:tplc="04090019">
      <w:start w:val="1"/>
      <w:numFmt w:val="ideographTraditional"/>
      <w:lvlText w:val="%2、"/>
      <w:lvlJc w:val="left"/>
      <w:pPr>
        <w:tabs>
          <w:tab w:val="num" w:pos="1888"/>
        </w:tabs>
        <w:ind w:left="1888" w:hanging="480"/>
      </w:pPr>
    </w:lvl>
    <w:lvl w:ilvl="2" w:tplc="0409001B">
      <w:start w:val="1"/>
      <w:numFmt w:val="lowerRoman"/>
      <w:lvlText w:val="%3."/>
      <w:lvlJc w:val="right"/>
      <w:pPr>
        <w:tabs>
          <w:tab w:val="num" w:pos="2368"/>
        </w:tabs>
        <w:ind w:left="2368" w:hanging="480"/>
      </w:pPr>
    </w:lvl>
    <w:lvl w:ilvl="3" w:tplc="0409000F">
      <w:start w:val="1"/>
      <w:numFmt w:val="decimal"/>
      <w:lvlText w:val="%4."/>
      <w:lvlJc w:val="left"/>
      <w:pPr>
        <w:tabs>
          <w:tab w:val="num" w:pos="2848"/>
        </w:tabs>
        <w:ind w:left="2848" w:hanging="480"/>
      </w:pPr>
    </w:lvl>
    <w:lvl w:ilvl="4" w:tplc="04090019">
      <w:start w:val="1"/>
      <w:numFmt w:val="ideographTraditional"/>
      <w:lvlText w:val="%5、"/>
      <w:lvlJc w:val="left"/>
      <w:pPr>
        <w:tabs>
          <w:tab w:val="num" w:pos="3328"/>
        </w:tabs>
        <w:ind w:left="3328" w:hanging="480"/>
      </w:pPr>
    </w:lvl>
    <w:lvl w:ilvl="5" w:tplc="0409001B">
      <w:start w:val="1"/>
      <w:numFmt w:val="lowerRoman"/>
      <w:lvlText w:val="%6."/>
      <w:lvlJc w:val="right"/>
      <w:pPr>
        <w:tabs>
          <w:tab w:val="num" w:pos="3808"/>
        </w:tabs>
        <w:ind w:left="3808" w:hanging="480"/>
      </w:pPr>
    </w:lvl>
    <w:lvl w:ilvl="6" w:tplc="0409000F">
      <w:start w:val="1"/>
      <w:numFmt w:val="decimal"/>
      <w:lvlText w:val="%7."/>
      <w:lvlJc w:val="left"/>
      <w:pPr>
        <w:tabs>
          <w:tab w:val="num" w:pos="4288"/>
        </w:tabs>
        <w:ind w:left="4288" w:hanging="480"/>
      </w:pPr>
    </w:lvl>
    <w:lvl w:ilvl="7" w:tplc="04090019">
      <w:start w:val="1"/>
      <w:numFmt w:val="ideographTraditional"/>
      <w:lvlText w:val="%8、"/>
      <w:lvlJc w:val="left"/>
      <w:pPr>
        <w:tabs>
          <w:tab w:val="num" w:pos="4768"/>
        </w:tabs>
        <w:ind w:left="4768" w:hanging="480"/>
      </w:pPr>
    </w:lvl>
    <w:lvl w:ilvl="8" w:tplc="0409001B">
      <w:start w:val="1"/>
      <w:numFmt w:val="lowerRoman"/>
      <w:lvlText w:val="%9."/>
      <w:lvlJc w:val="right"/>
      <w:pPr>
        <w:tabs>
          <w:tab w:val="num" w:pos="5248"/>
        </w:tabs>
        <w:ind w:left="5248" w:hanging="480"/>
      </w:pPr>
    </w:lvl>
  </w:abstractNum>
  <w:abstractNum w:abstractNumId="10" w15:restartNumberingAfterBreak="0">
    <w:nsid w:val="774E44CE"/>
    <w:multiLevelType w:val="hybridMultilevel"/>
    <w:tmpl w:val="CFC8B116"/>
    <w:lvl w:ilvl="0" w:tplc="2462345A">
      <w:start w:val="1"/>
      <w:numFmt w:val="decimal"/>
      <w:lvlText w:val="%1."/>
      <w:lvlJc w:val="left"/>
      <w:pPr>
        <w:tabs>
          <w:tab w:val="num" w:pos="1288"/>
        </w:tabs>
        <w:ind w:left="1288" w:hanging="360"/>
      </w:pPr>
    </w:lvl>
    <w:lvl w:ilvl="1" w:tplc="04090019">
      <w:start w:val="1"/>
      <w:numFmt w:val="ideographTraditional"/>
      <w:lvlText w:val="%2、"/>
      <w:lvlJc w:val="left"/>
      <w:pPr>
        <w:tabs>
          <w:tab w:val="num" w:pos="1888"/>
        </w:tabs>
        <w:ind w:left="1888" w:hanging="480"/>
      </w:pPr>
    </w:lvl>
    <w:lvl w:ilvl="2" w:tplc="0409001B">
      <w:start w:val="1"/>
      <w:numFmt w:val="lowerRoman"/>
      <w:lvlText w:val="%3."/>
      <w:lvlJc w:val="right"/>
      <w:pPr>
        <w:tabs>
          <w:tab w:val="num" w:pos="2368"/>
        </w:tabs>
        <w:ind w:left="2368" w:hanging="480"/>
      </w:pPr>
    </w:lvl>
    <w:lvl w:ilvl="3" w:tplc="0409000F">
      <w:start w:val="1"/>
      <w:numFmt w:val="decimal"/>
      <w:lvlText w:val="%4."/>
      <w:lvlJc w:val="left"/>
      <w:pPr>
        <w:tabs>
          <w:tab w:val="num" w:pos="2848"/>
        </w:tabs>
        <w:ind w:left="2848" w:hanging="480"/>
      </w:pPr>
    </w:lvl>
    <w:lvl w:ilvl="4" w:tplc="04090019">
      <w:start w:val="1"/>
      <w:numFmt w:val="ideographTraditional"/>
      <w:lvlText w:val="%5、"/>
      <w:lvlJc w:val="left"/>
      <w:pPr>
        <w:tabs>
          <w:tab w:val="num" w:pos="3328"/>
        </w:tabs>
        <w:ind w:left="3328" w:hanging="480"/>
      </w:pPr>
    </w:lvl>
    <w:lvl w:ilvl="5" w:tplc="0409001B">
      <w:start w:val="1"/>
      <w:numFmt w:val="lowerRoman"/>
      <w:lvlText w:val="%6."/>
      <w:lvlJc w:val="right"/>
      <w:pPr>
        <w:tabs>
          <w:tab w:val="num" w:pos="3808"/>
        </w:tabs>
        <w:ind w:left="3808" w:hanging="480"/>
      </w:pPr>
    </w:lvl>
    <w:lvl w:ilvl="6" w:tplc="0409000F">
      <w:start w:val="1"/>
      <w:numFmt w:val="decimal"/>
      <w:lvlText w:val="%7."/>
      <w:lvlJc w:val="left"/>
      <w:pPr>
        <w:tabs>
          <w:tab w:val="num" w:pos="4288"/>
        </w:tabs>
        <w:ind w:left="4288" w:hanging="480"/>
      </w:pPr>
    </w:lvl>
    <w:lvl w:ilvl="7" w:tplc="04090019">
      <w:start w:val="1"/>
      <w:numFmt w:val="ideographTraditional"/>
      <w:lvlText w:val="%8、"/>
      <w:lvlJc w:val="left"/>
      <w:pPr>
        <w:tabs>
          <w:tab w:val="num" w:pos="4768"/>
        </w:tabs>
        <w:ind w:left="4768" w:hanging="480"/>
      </w:pPr>
    </w:lvl>
    <w:lvl w:ilvl="8" w:tplc="0409001B">
      <w:start w:val="1"/>
      <w:numFmt w:val="lowerRoman"/>
      <w:lvlText w:val="%9."/>
      <w:lvlJc w:val="right"/>
      <w:pPr>
        <w:tabs>
          <w:tab w:val="num" w:pos="5248"/>
        </w:tabs>
        <w:ind w:left="5248" w:hanging="480"/>
      </w:pPr>
    </w:lvl>
  </w:abstractNum>
  <w:num w:numId="1">
    <w:abstractNumId w:val="2"/>
  </w:num>
  <w:num w:numId="2">
    <w:abstractNumId w:val="3"/>
  </w:num>
  <w:num w:numId="3">
    <w:abstractNumId w:val="0"/>
  </w:num>
  <w:num w:numId="4">
    <w:abstractNumId w:val="6"/>
  </w:num>
  <w:num w:numId="5">
    <w:abstractNumId w:val="4"/>
  </w:num>
  <w:num w:numId="6">
    <w:abstractNumId w:val="7"/>
  </w:num>
  <w:num w:numId="7">
    <w:abstractNumId w:val="2"/>
  </w:num>
  <w:num w:numId="8">
    <w:abstractNumId w:val="8"/>
  </w:num>
  <w:num w:numId="9">
    <w:abstractNumId w:val="5"/>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num>
  <w:num w:numId="37">
    <w:abstractNumId w:val="2"/>
  </w:num>
  <w:num w:numId="38">
    <w:abstractNumId w:val="2"/>
  </w:num>
  <w:num w:numId="39">
    <w:abstractNumId w:val="2"/>
  </w:num>
  <w:num w:numId="4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81"/>
    <w:rsid w:val="00002C93"/>
    <w:rsid w:val="00006961"/>
    <w:rsid w:val="000112BF"/>
    <w:rsid w:val="00011CE5"/>
    <w:rsid w:val="00012233"/>
    <w:rsid w:val="00017318"/>
    <w:rsid w:val="000222F0"/>
    <w:rsid w:val="00022929"/>
    <w:rsid w:val="00024605"/>
    <w:rsid w:val="000246F7"/>
    <w:rsid w:val="0003114D"/>
    <w:rsid w:val="00036D76"/>
    <w:rsid w:val="00036FFC"/>
    <w:rsid w:val="00037F82"/>
    <w:rsid w:val="0004289F"/>
    <w:rsid w:val="00047B80"/>
    <w:rsid w:val="00050A13"/>
    <w:rsid w:val="000567C9"/>
    <w:rsid w:val="00057F32"/>
    <w:rsid w:val="00062A25"/>
    <w:rsid w:val="000657BA"/>
    <w:rsid w:val="000719A9"/>
    <w:rsid w:val="00073CB5"/>
    <w:rsid w:val="0007425C"/>
    <w:rsid w:val="00074DDD"/>
    <w:rsid w:val="00077553"/>
    <w:rsid w:val="000851A2"/>
    <w:rsid w:val="0009352E"/>
    <w:rsid w:val="00096B96"/>
    <w:rsid w:val="000A0135"/>
    <w:rsid w:val="000A0BBB"/>
    <w:rsid w:val="000A2F3F"/>
    <w:rsid w:val="000B0B4A"/>
    <w:rsid w:val="000B279A"/>
    <w:rsid w:val="000B61D2"/>
    <w:rsid w:val="000B70A7"/>
    <w:rsid w:val="000B73DD"/>
    <w:rsid w:val="000C4219"/>
    <w:rsid w:val="000C495F"/>
    <w:rsid w:val="000C67C4"/>
    <w:rsid w:val="000D2A39"/>
    <w:rsid w:val="000D35DE"/>
    <w:rsid w:val="000D44CA"/>
    <w:rsid w:val="000E4617"/>
    <w:rsid w:val="000E4E03"/>
    <w:rsid w:val="000E6431"/>
    <w:rsid w:val="000F1D2E"/>
    <w:rsid w:val="000F21A5"/>
    <w:rsid w:val="00102B9F"/>
    <w:rsid w:val="00105898"/>
    <w:rsid w:val="00107BE3"/>
    <w:rsid w:val="00112637"/>
    <w:rsid w:val="00112ABC"/>
    <w:rsid w:val="001172D8"/>
    <w:rsid w:val="0012001E"/>
    <w:rsid w:val="00124268"/>
    <w:rsid w:val="00126A55"/>
    <w:rsid w:val="001273BE"/>
    <w:rsid w:val="00133F08"/>
    <w:rsid w:val="001345E6"/>
    <w:rsid w:val="00134A0E"/>
    <w:rsid w:val="001378B0"/>
    <w:rsid w:val="00142E00"/>
    <w:rsid w:val="001440E9"/>
    <w:rsid w:val="00152793"/>
    <w:rsid w:val="00152ABD"/>
    <w:rsid w:val="00153B7E"/>
    <w:rsid w:val="001545A9"/>
    <w:rsid w:val="00155B21"/>
    <w:rsid w:val="001637C7"/>
    <w:rsid w:val="0016480E"/>
    <w:rsid w:val="00174297"/>
    <w:rsid w:val="00180E06"/>
    <w:rsid w:val="001817B3"/>
    <w:rsid w:val="00183014"/>
    <w:rsid w:val="00185C4D"/>
    <w:rsid w:val="001959C2"/>
    <w:rsid w:val="00196966"/>
    <w:rsid w:val="001A51E3"/>
    <w:rsid w:val="001A7968"/>
    <w:rsid w:val="001B2E98"/>
    <w:rsid w:val="001B3483"/>
    <w:rsid w:val="001B3C1E"/>
    <w:rsid w:val="001B4494"/>
    <w:rsid w:val="001C0D8B"/>
    <w:rsid w:val="001C0DA8"/>
    <w:rsid w:val="001C0E9A"/>
    <w:rsid w:val="001D4AD7"/>
    <w:rsid w:val="001D7610"/>
    <w:rsid w:val="001E0D8A"/>
    <w:rsid w:val="001E1082"/>
    <w:rsid w:val="001E67BA"/>
    <w:rsid w:val="001E74C2"/>
    <w:rsid w:val="001F2157"/>
    <w:rsid w:val="001F4F82"/>
    <w:rsid w:val="001F5A48"/>
    <w:rsid w:val="001F6260"/>
    <w:rsid w:val="001F6A82"/>
    <w:rsid w:val="001F6C88"/>
    <w:rsid w:val="00200007"/>
    <w:rsid w:val="002030A5"/>
    <w:rsid w:val="00203131"/>
    <w:rsid w:val="00212E88"/>
    <w:rsid w:val="00213217"/>
    <w:rsid w:val="00213C9C"/>
    <w:rsid w:val="0022009E"/>
    <w:rsid w:val="00223241"/>
    <w:rsid w:val="002240D6"/>
    <w:rsid w:val="0022425C"/>
    <w:rsid w:val="002246DE"/>
    <w:rsid w:val="00225F9A"/>
    <w:rsid w:val="00227CC8"/>
    <w:rsid w:val="00227ED9"/>
    <w:rsid w:val="002360B7"/>
    <w:rsid w:val="002452C3"/>
    <w:rsid w:val="00250CCA"/>
    <w:rsid w:val="0025161E"/>
    <w:rsid w:val="00251659"/>
    <w:rsid w:val="002518BF"/>
    <w:rsid w:val="00251E22"/>
    <w:rsid w:val="00252BC4"/>
    <w:rsid w:val="00254014"/>
    <w:rsid w:val="00254B39"/>
    <w:rsid w:val="002550ED"/>
    <w:rsid w:val="00262C5F"/>
    <w:rsid w:val="00264CD5"/>
    <w:rsid w:val="0026504D"/>
    <w:rsid w:val="00273A2F"/>
    <w:rsid w:val="00280986"/>
    <w:rsid w:val="00280AE3"/>
    <w:rsid w:val="00281ECE"/>
    <w:rsid w:val="002831C7"/>
    <w:rsid w:val="002840C6"/>
    <w:rsid w:val="00295174"/>
    <w:rsid w:val="00296172"/>
    <w:rsid w:val="002964B6"/>
    <w:rsid w:val="00296B92"/>
    <w:rsid w:val="002A2C22"/>
    <w:rsid w:val="002A3B0D"/>
    <w:rsid w:val="002A712C"/>
    <w:rsid w:val="002B0180"/>
    <w:rsid w:val="002B02EB"/>
    <w:rsid w:val="002B1932"/>
    <w:rsid w:val="002C0602"/>
    <w:rsid w:val="002C41F0"/>
    <w:rsid w:val="002C4CAE"/>
    <w:rsid w:val="002D1529"/>
    <w:rsid w:val="002D2C4F"/>
    <w:rsid w:val="002D5C16"/>
    <w:rsid w:val="002E1335"/>
    <w:rsid w:val="002E2B62"/>
    <w:rsid w:val="002E6FB4"/>
    <w:rsid w:val="002F228A"/>
    <w:rsid w:val="002F2476"/>
    <w:rsid w:val="002F3DFF"/>
    <w:rsid w:val="002F5E05"/>
    <w:rsid w:val="00305435"/>
    <w:rsid w:val="00306578"/>
    <w:rsid w:val="00307A76"/>
    <w:rsid w:val="00310755"/>
    <w:rsid w:val="00315A16"/>
    <w:rsid w:val="00317053"/>
    <w:rsid w:val="0032109C"/>
    <w:rsid w:val="00322B45"/>
    <w:rsid w:val="00323809"/>
    <w:rsid w:val="00323D41"/>
    <w:rsid w:val="00325414"/>
    <w:rsid w:val="00327976"/>
    <w:rsid w:val="003302F1"/>
    <w:rsid w:val="003344B2"/>
    <w:rsid w:val="0034470E"/>
    <w:rsid w:val="00345DFB"/>
    <w:rsid w:val="00352B59"/>
    <w:rsid w:val="00352DB0"/>
    <w:rsid w:val="00353D25"/>
    <w:rsid w:val="0035422F"/>
    <w:rsid w:val="003561A1"/>
    <w:rsid w:val="0036020F"/>
    <w:rsid w:val="00361063"/>
    <w:rsid w:val="0037094A"/>
    <w:rsid w:val="00370C1B"/>
    <w:rsid w:val="00371BC5"/>
    <w:rsid w:val="00371ED3"/>
    <w:rsid w:val="00372777"/>
    <w:rsid w:val="00372FFC"/>
    <w:rsid w:val="0037417B"/>
    <w:rsid w:val="0037728A"/>
    <w:rsid w:val="00380B7D"/>
    <w:rsid w:val="00381A99"/>
    <w:rsid w:val="00382337"/>
    <w:rsid w:val="003829C2"/>
    <w:rsid w:val="00382FF4"/>
    <w:rsid w:val="003830B2"/>
    <w:rsid w:val="00383294"/>
    <w:rsid w:val="00384724"/>
    <w:rsid w:val="003858F4"/>
    <w:rsid w:val="00390A80"/>
    <w:rsid w:val="003919B7"/>
    <w:rsid w:val="00391D57"/>
    <w:rsid w:val="00392292"/>
    <w:rsid w:val="00394F45"/>
    <w:rsid w:val="00396272"/>
    <w:rsid w:val="00397142"/>
    <w:rsid w:val="003A30F9"/>
    <w:rsid w:val="003A5927"/>
    <w:rsid w:val="003B085D"/>
    <w:rsid w:val="003B1017"/>
    <w:rsid w:val="003B3C07"/>
    <w:rsid w:val="003B6081"/>
    <w:rsid w:val="003B6775"/>
    <w:rsid w:val="003B77F3"/>
    <w:rsid w:val="003C3A1B"/>
    <w:rsid w:val="003C4CF7"/>
    <w:rsid w:val="003C5FE2"/>
    <w:rsid w:val="003D05FB"/>
    <w:rsid w:val="003D1B16"/>
    <w:rsid w:val="003D4057"/>
    <w:rsid w:val="003D45BF"/>
    <w:rsid w:val="003D508A"/>
    <w:rsid w:val="003D537F"/>
    <w:rsid w:val="003D7B75"/>
    <w:rsid w:val="003E0208"/>
    <w:rsid w:val="003E1274"/>
    <w:rsid w:val="003E4B57"/>
    <w:rsid w:val="003F27E1"/>
    <w:rsid w:val="003F437A"/>
    <w:rsid w:val="003F5C2B"/>
    <w:rsid w:val="00401D74"/>
    <w:rsid w:val="00402240"/>
    <w:rsid w:val="004023E9"/>
    <w:rsid w:val="0040454A"/>
    <w:rsid w:val="0040511D"/>
    <w:rsid w:val="004072CD"/>
    <w:rsid w:val="0041000A"/>
    <w:rsid w:val="00410BD6"/>
    <w:rsid w:val="00413F83"/>
    <w:rsid w:val="0041490C"/>
    <w:rsid w:val="00416191"/>
    <w:rsid w:val="00416721"/>
    <w:rsid w:val="00421EF0"/>
    <w:rsid w:val="004224FA"/>
    <w:rsid w:val="00423D07"/>
    <w:rsid w:val="00424926"/>
    <w:rsid w:val="00427936"/>
    <w:rsid w:val="004325BA"/>
    <w:rsid w:val="0044346F"/>
    <w:rsid w:val="00452F03"/>
    <w:rsid w:val="00453FF6"/>
    <w:rsid w:val="00461662"/>
    <w:rsid w:val="004621FC"/>
    <w:rsid w:val="00463428"/>
    <w:rsid w:val="0046520A"/>
    <w:rsid w:val="004672AB"/>
    <w:rsid w:val="004702F0"/>
    <w:rsid w:val="004714FE"/>
    <w:rsid w:val="00477BAA"/>
    <w:rsid w:val="004907B2"/>
    <w:rsid w:val="00490CF5"/>
    <w:rsid w:val="0049299A"/>
    <w:rsid w:val="00495053"/>
    <w:rsid w:val="004954FD"/>
    <w:rsid w:val="004962E3"/>
    <w:rsid w:val="004A1F59"/>
    <w:rsid w:val="004A29BE"/>
    <w:rsid w:val="004A3225"/>
    <w:rsid w:val="004A33EE"/>
    <w:rsid w:val="004A3AA8"/>
    <w:rsid w:val="004A68C3"/>
    <w:rsid w:val="004B019E"/>
    <w:rsid w:val="004B13C7"/>
    <w:rsid w:val="004B778F"/>
    <w:rsid w:val="004B7CC2"/>
    <w:rsid w:val="004C0609"/>
    <w:rsid w:val="004C1228"/>
    <w:rsid w:val="004C29BB"/>
    <w:rsid w:val="004C5B79"/>
    <w:rsid w:val="004D141F"/>
    <w:rsid w:val="004D1F90"/>
    <w:rsid w:val="004D2742"/>
    <w:rsid w:val="004D3BFF"/>
    <w:rsid w:val="004D6310"/>
    <w:rsid w:val="004E0062"/>
    <w:rsid w:val="004E05A1"/>
    <w:rsid w:val="004E4EC5"/>
    <w:rsid w:val="004F472A"/>
    <w:rsid w:val="004F5E57"/>
    <w:rsid w:val="004F6710"/>
    <w:rsid w:val="00500C3E"/>
    <w:rsid w:val="00501F19"/>
    <w:rsid w:val="00502849"/>
    <w:rsid w:val="00503E60"/>
    <w:rsid w:val="00504334"/>
    <w:rsid w:val="0050498D"/>
    <w:rsid w:val="005104D7"/>
    <w:rsid w:val="00510B9E"/>
    <w:rsid w:val="00522C49"/>
    <w:rsid w:val="00536BC2"/>
    <w:rsid w:val="005418A2"/>
    <w:rsid w:val="005425E1"/>
    <w:rsid w:val="005427C5"/>
    <w:rsid w:val="00542CF6"/>
    <w:rsid w:val="00544583"/>
    <w:rsid w:val="00545059"/>
    <w:rsid w:val="00550A20"/>
    <w:rsid w:val="00553C03"/>
    <w:rsid w:val="005544B0"/>
    <w:rsid w:val="00563692"/>
    <w:rsid w:val="00570756"/>
    <w:rsid w:val="00571679"/>
    <w:rsid w:val="00577037"/>
    <w:rsid w:val="00582143"/>
    <w:rsid w:val="005832B4"/>
    <w:rsid w:val="005844E7"/>
    <w:rsid w:val="005877A5"/>
    <w:rsid w:val="005908B8"/>
    <w:rsid w:val="0059512E"/>
    <w:rsid w:val="005A5FD6"/>
    <w:rsid w:val="005A67A1"/>
    <w:rsid w:val="005A6DD2"/>
    <w:rsid w:val="005B229B"/>
    <w:rsid w:val="005C385D"/>
    <w:rsid w:val="005C3E7C"/>
    <w:rsid w:val="005C4036"/>
    <w:rsid w:val="005C7038"/>
    <w:rsid w:val="005D3B20"/>
    <w:rsid w:val="005D59C5"/>
    <w:rsid w:val="005E0DA5"/>
    <w:rsid w:val="005E4759"/>
    <w:rsid w:val="005E5C68"/>
    <w:rsid w:val="005E65C0"/>
    <w:rsid w:val="005E7AFA"/>
    <w:rsid w:val="005F0390"/>
    <w:rsid w:val="005F14F9"/>
    <w:rsid w:val="005F6144"/>
    <w:rsid w:val="00600066"/>
    <w:rsid w:val="006072CD"/>
    <w:rsid w:val="00610180"/>
    <w:rsid w:val="006109C2"/>
    <w:rsid w:val="00612023"/>
    <w:rsid w:val="00614190"/>
    <w:rsid w:val="00615C0D"/>
    <w:rsid w:val="00622A99"/>
    <w:rsid w:val="00622E67"/>
    <w:rsid w:val="00626B57"/>
    <w:rsid w:val="00626EDC"/>
    <w:rsid w:val="00630360"/>
    <w:rsid w:val="00634538"/>
    <w:rsid w:val="006346C9"/>
    <w:rsid w:val="006359D5"/>
    <w:rsid w:val="006362AA"/>
    <w:rsid w:val="006470EC"/>
    <w:rsid w:val="006542D6"/>
    <w:rsid w:val="00654CAC"/>
    <w:rsid w:val="006556B8"/>
    <w:rsid w:val="0065598E"/>
    <w:rsid w:val="00655AF2"/>
    <w:rsid w:val="00655BC5"/>
    <w:rsid w:val="006568BE"/>
    <w:rsid w:val="0066025D"/>
    <w:rsid w:val="0066091A"/>
    <w:rsid w:val="00661FE3"/>
    <w:rsid w:val="00662852"/>
    <w:rsid w:val="00665442"/>
    <w:rsid w:val="00666557"/>
    <w:rsid w:val="006773EC"/>
    <w:rsid w:val="00680504"/>
    <w:rsid w:val="00681CD9"/>
    <w:rsid w:val="00683E30"/>
    <w:rsid w:val="00684EAD"/>
    <w:rsid w:val="00687024"/>
    <w:rsid w:val="0069513F"/>
    <w:rsid w:val="00695E22"/>
    <w:rsid w:val="006A5742"/>
    <w:rsid w:val="006A5977"/>
    <w:rsid w:val="006B0AB2"/>
    <w:rsid w:val="006B5C46"/>
    <w:rsid w:val="006B7093"/>
    <w:rsid w:val="006B7417"/>
    <w:rsid w:val="006D2FFE"/>
    <w:rsid w:val="006D3691"/>
    <w:rsid w:val="006D612A"/>
    <w:rsid w:val="006D6D5E"/>
    <w:rsid w:val="006E1927"/>
    <w:rsid w:val="006E4065"/>
    <w:rsid w:val="006E5EF0"/>
    <w:rsid w:val="006F3563"/>
    <w:rsid w:val="006F423A"/>
    <w:rsid w:val="006F42B9"/>
    <w:rsid w:val="006F6103"/>
    <w:rsid w:val="00704E00"/>
    <w:rsid w:val="00714091"/>
    <w:rsid w:val="0071520A"/>
    <w:rsid w:val="0071610B"/>
    <w:rsid w:val="007209E7"/>
    <w:rsid w:val="00721CD2"/>
    <w:rsid w:val="00726182"/>
    <w:rsid w:val="00727635"/>
    <w:rsid w:val="00732329"/>
    <w:rsid w:val="00732D4C"/>
    <w:rsid w:val="007337CA"/>
    <w:rsid w:val="00734CE4"/>
    <w:rsid w:val="00735123"/>
    <w:rsid w:val="00741837"/>
    <w:rsid w:val="007453E6"/>
    <w:rsid w:val="00745DE8"/>
    <w:rsid w:val="00755C16"/>
    <w:rsid w:val="00765119"/>
    <w:rsid w:val="00770E5D"/>
    <w:rsid w:val="0077309D"/>
    <w:rsid w:val="00775293"/>
    <w:rsid w:val="00776B76"/>
    <w:rsid w:val="007774EE"/>
    <w:rsid w:val="00781822"/>
    <w:rsid w:val="00783F21"/>
    <w:rsid w:val="00784119"/>
    <w:rsid w:val="00787159"/>
    <w:rsid w:val="0079043A"/>
    <w:rsid w:val="00791668"/>
    <w:rsid w:val="00791AA1"/>
    <w:rsid w:val="00793A6A"/>
    <w:rsid w:val="007950B7"/>
    <w:rsid w:val="007A3793"/>
    <w:rsid w:val="007A4762"/>
    <w:rsid w:val="007A662F"/>
    <w:rsid w:val="007A7314"/>
    <w:rsid w:val="007B7B43"/>
    <w:rsid w:val="007C1BA2"/>
    <w:rsid w:val="007C2B48"/>
    <w:rsid w:val="007C32EA"/>
    <w:rsid w:val="007D20E9"/>
    <w:rsid w:val="007D2981"/>
    <w:rsid w:val="007D7881"/>
    <w:rsid w:val="007D7E3A"/>
    <w:rsid w:val="007E0E10"/>
    <w:rsid w:val="007E1DBA"/>
    <w:rsid w:val="007E4768"/>
    <w:rsid w:val="007E5546"/>
    <w:rsid w:val="007E5A50"/>
    <w:rsid w:val="007E5F58"/>
    <w:rsid w:val="007E777B"/>
    <w:rsid w:val="007F2070"/>
    <w:rsid w:val="007F63C1"/>
    <w:rsid w:val="00801FBE"/>
    <w:rsid w:val="008053F5"/>
    <w:rsid w:val="00807AF7"/>
    <w:rsid w:val="00810198"/>
    <w:rsid w:val="008146E2"/>
    <w:rsid w:val="00815B51"/>
    <w:rsid w:val="00815DA8"/>
    <w:rsid w:val="00817244"/>
    <w:rsid w:val="0082194D"/>
    <w:rsid w:val="008221F9"/>
    <w:rsid w:val="00826EF5"/>
    <w:rsid w:val="00830195"/>
    <w:rsid w:val="00831693"/>
    <w:rsid w:val="00832816"/>
    <w:rsid w:val="00833D61"/>
    <w:rsid w:val="00834832"/>
    <w:rsid w:val="00840104"/>
    <w:rsid w:val="00840C1F"/>
    <w:rsid w:val="008411C9"/>
    <w:rsid w:val="00841FC5"/>
    <w:rsid w:val="00845709"/>
    <w:rsid w:val="00854B80"/>
    <w:rsid w:val="008576BD"/>
    <w:rsid w:val="00860463"/>
    <w:rsid w:val="00860620"/>
    <w:rsid w:val="00862040"/>
    <w:rsid w:val="008733DA"/>
    <w:rsid w:val="00882A78"/>
    <w:rsid w:val="008849F1"/>
    <w:rsid w:val="008850E4"/>
    <w:rsid w:val="008939AB"/>
    <w:rsid w:val="00893BB1"/>
    <w:rsid w:val="00895173"/>
    <w:rsid w:val="00895D8D"/>
    <w:rsid w:val="008A02DB"/>
    <w:rsid w:val="008A0DD5"/>
    <w:rsid w:val="008A12F5"/>
    <w:rsid w:val="008A2489"/>
    <w:rsid w:val="008A52DF"/>
    <w:rsid w:val="008A7AFB"/>
    <w:rsid w:val="008B1587"/>
    <w:rsid w:val="008B1B01"/>
    <w:rsid w:val="008B3BCD"/>
    <w:rsid w:val="008B6DF8"/>
    <w:rsid w:val="008C106C"/>
    <w:rsid w:val="008C10F1"/>
    <w:rsid w:val="008C168C"/>
    <w:rsid w:val="008C1926"/>
    <w:rsid w:val="008C1E99"/>
    <w:rsid w:val="008D3CEB"/>
    <w:rsid w:val="008E0085"/>
    <w:rsid w:val="008E285F"/>
    <w:rsid w:val="008E2AA6"/>
    <w:rsid w:val="008E311B"/>
    <w:rsid w:val="008E4BB4"/>
    <w:rsid w:val="008E7373"/>
    <w:rsid w:val="008E7941"/>
    <w:rsid w:val="008F46E7"/>
    <w:rsid w:val="008F6823"/>
    <w:rsid w:val="008F6F0B"/>
    <w:rsid w:val="0090717F"/>
    <w:rsid w:val="00907BA7"/>
    <w:rsid w:val="0091064E"/>
    <w:rsid w:val="00911FC5"/>
    <w:rsid w:val="00917539"/>
    <w:rsid w:val="00923709"/>
    <w:rsid w:val="0092644D"/>
    <w:rsid w:val="00931A10"/>
    <w:rsid w:val="00935002"/>
    <w:rsid w:val="009357BA"/>
    <w:rsid w:val="009466BA"/>
    <w:rsid w:val="00947967"/>
    <w:rsid w:val="00955201"/>
    <w:rsid w:val="00962DF0"/>
    <w:rsid w:val="00965200"/>
    <w:rsid w:val="009668B3"/>
    <w:rsid w:val="009673D2"/>
    <w:rsid w:val="00971471"/>
    <w:rsid w:val="00972C94"/>
    <w:rsid w:val="00975369"/>
    <w:rsid w:val="009766C0"/>
    <w:rsid w:val="009849C2"/>
    <w:rsid w:val="00984D24"/>
    <w:rsid w:val="009858EB"/>
    <w:rsid w:val="009938C9"/>
    <w:rsid w:val="00996A32"/>
    <w:rsid w:val="009A3F47"/>
    <w:rsid w:val="009B0046"/>
    <w:rsid w:val="009C1440"/>
    <w:rsid w:val="009C2107"/>
    <w:rsid w:val="009C465E"/>
    <w:rsid w:val="009C5D9E"/>
    <w:rsid w:val="009D103A"/>
    <w:rsid w:val="009D2C3E"/>
    <w:rsid w:val="009D57B2"/>
    <w:rsid w:val="009D5E5E"/>
    <w:rsid w:val="009D6DC7"/>
    <w:rsid w:val="009E0625"/>
    <w:rsid w:val="009E3034"/>
    <w:rsid w:val="009E549F"/>
    <w:rsid w:val="009E5587"/>
    <w:rsid w:val="009E773E"/>
    <w:rsid w:val="009E7F1D"/>
    <w:rsid w:val="009F28A8"/>
    <w:rsid w:val="009F2DC4"/>
    <w:rsid w:val="009F473E"/>
    <w:rsid w:val="009F682A"/>
    <w:rsid w:val="00A022BE"/>
    <w:rsid w:val="00A07B4B"/>
    <w:rsid w:val="00A104EE"/>
    <w:rsid w:val="00A24C95"/>
    <w:rsid w:val="00A2599A"/>
    <w:rsid w:val="00A26094"/>
    <w:rsid w:val="00A301BF"/>
    <w:rsid w:val="00A302B2"/>
    <w:rsid w:val="00A331B4"/>
    <w:rsid w:val="00A3484E"/>
    <w:rsid w:val="00A356D3"/>
    <w:rsid w:val="00A36ADA"/>
    <w:rsid w:val="00A377D2"/>
    <w:rsid w:val="00A41E6A"/>
    <w:rsid w:val="00A4346A"/>
    <w:rsid w:val="00A438D8"/>
    <w:rsid w:val="00A44A81"/>
    <w:rsid w:val="00A473F5"/>
    <w:rsid w:val="00A47E47"/>
    <w:rsid w:val="00A51F9D"/>
    <w:rsid w:val="00A538B9"/>
    <w:rsid w:val="00A5416A"/>
    <w:rsid w:val="00A639F4"/>
    <w:rsid w:val="00A655E4"/>
    <w:rsid w:val="00A66D33"/>
    <w:rsid w:val="00A73D1C"/>
    <w:rsid w:val="00A77FAC"/>
    <w:rsid w:val="00A81A32"/>
    <w:rsid w:val="00A83065"/>
    <w:rsid w:val="00A8337F"/>
    <w:rsid w:val="00A835BD"/>
    <w:rsid w:val="00A94D1C"/>
    <w:rsid w:val="00A95FA9"/>
    <w:rsid w:val="00A97B15"/>
    <w:rsid w:val="00AA0CB7"/>
    <w:rsid w:val="00AA42D5"/>
    <w:rsid w:val="00AB2FAB"/>
    <w:rsid w:val="00AB33FA"/>
    <w:rsid w:val="00AB4A82"/>
    <w:rsid w:val="00AB4D4D"/>
    <w:rsid w:val="00AB5C14"/>
    <w:rsid w:val="00AC1EE7"/>
    <w:rsid w:val="00AC2206"/>
    <w:rsid w:val="00AC333F"/>
    <w:rsid w:val="00AC41C0"/>
    <w:rsid w:val="00AC585C"/>
    <w:rsid w:val="00AC5E53"/>
    <w:rsid w:val="00AC79AE"/>
    <w:rsid w:val="00AC7F76"/>
    <w:rsid w:val="00AD1925"/>
    <w:rsid w:val="00AE067D"/>
    <w:rsid w:val="00AE1006"/>
    <w:rsid w:val="00AE3256"/>
    <w:rsid w:val="00AE36CE"/>
    <w:rsid w:val="00AF1181"/>
    <w:rsid w:val="00AF2F79"/>
    <w:rsid w:val="00AF3FA8"/>
    <w:rsid w:val="00AF4653"/>
    <w:rsid w:val="00AF7DB7"/>
    <w:rsid w:val="00B0650F"/>
    <w:rsid w:val="00B10D02"/>
    <w:rsid w:val="00B1138C"/>
    <w:rsid w:val="00B12BE1"/>
    <w:rsid w:val="00B1539F"/>
    <w:rsid w:val="00B201E2"/>
    <w:rsid w:val="00B26308"/>
    <w:rsid w:val="00B27517"/>
    <w:rsid w:val="00B27B78"/>
    <w:rsid w:val="00B326DA"/>
    <w:rsid w:val="00B443E4"/>
    <w:rsid w:val="00B4735B"/>
    <w:rsid w:val="00B53A88"/>
    <w:rsid w:val="00B5484D"/>
    <w:rsid w:val="00B563EA"/>
    <w:rsid w:val="00B56CDF"/>
    <w:rsid w:val="00B60E51"/>
    <w:rsid w:val="00B63358"/>
    <w:rsid w:val="00B63A54"/>
    <w:rsid w:val="00B77D18"/>
    <w:rsid w:val="00B8259B"/>
    <w:rsid w:val="00B8313A"/>
    <w:rsid w:val="00B93503"/>
    <w:rsid w:val="00B94B71"/>
    <w:rsid w:val="00BA31E8"/>
    <w:rsid w:val="00BA4D2A"/>
    <w:rsid w:val="00BA55E0"/>
    <w:rsid w:val="00BA6BD4"/>
    <w:rsid w:val="00BA6C7A"/>
    <w:rsid w:val="00BA7A19"/>
    <w:rsid w:val="00BB1509"/>
    <w:rsid w:val="00BB17D1"/>
    <w:rsid w:val="00BB3752"/>
    <w:rsid w:val="00BB6688"/>
    <w:rsid w:val="00BB7369"/>
    <w:rsid w:val="00BC1290"/>
    <w:rsid w:val="00BC26D4"/>
    <w:rsid w:val="00BC4C64"/>
    <w:rsid w:val="00BD0E83"/>
    <w:rsid w:val="00BE0C80"/>
    <w:rsid w:val="00BE26EA"/>
    <w:rsid w:val="00BE44D9"/>
    <w:rsid w:val="00BF0277"/>
    <w:rsid w:val="00BF2A42"/>
    <w:rsid w:val="00C02781"/>
    <w:rsid w:val="00C02B87"/>
    <w:rsid w:val="00C03D8C"/>
    <w:rsid w:val="00C055EC"/>
    <w:rsid w:val="00C10DC9"/>
    <w:rsid w:val="00C12C83"/>
    <w:rsid w:val="00C12FB3"/>
    <w:rsid w:val="00C17341"/>
    <w:rsid w:val="00C173C9"/>
    <w:rsid w:val="00C20CFF"/>
    <w:rsid w:val="00C239C9"/>
    <w:rsid w:val="00C23D1D"/>
    <w:rsid w:val="00C24EEF"/>
    <w:rsid w:val="00C25810"/>
    <w:rsid w:val="00C25CF6"/>
    <w:rsid w:val="00C26C36"/>
    <w:rsid w:val="00C32768"/>
    <w:rsid w:val="00C431DF"/>
    <w:rsid w:val="00C456BD"/>
    <w:rsid w:val="00C45716"/>
    <w:rsid w:val="00C530DC"/>
    <w:rsid w:val="00C5350D"/>
    <w:rsid w:val="00C6123C"/>
    <w:rsid w:val="00C6311A"/>
    <w:rsid w:val="00C7084D"/>
    <w:rsid w:val="00C71E94"/>
    <w:rsid w:val="00C7315E"/>
    <w:rsid w:val="00C735FC"/>
    <w:rsid w:val="00C75895"/>
    <w:rsid w:val="00C7631F"/>
    <w:rsid w:val="00C768E5"/>
    <w:rsid w:val="00C83C9F"/>
    <w:rsid w:val="00C845F6"/>
    <w:rsid w:val="00C93CF1"/>
    <w:rsid w:val="00C94840"/>
    <w:rsid w:val="00CA0282"/>
    <w:rsid w:val="00CA2C14"/>
    <w:rsid w:val="00CA4EE3"/>
    <w:rsid w:val="00CB00DD"/>
    <w:rsid w:val="00CB027F"/>
    <w:rsid w:val="00CB2428"/>
    <w:rsid w:val="00CB3EA9"/>
    <w:rsid w:val="00CC0EBB"/>
    <w:rsid w:val="00CC6297"/>
    <w:rsid w:val="00CC7690"/>
    <w:rsid w:val="00CD1986"/>
    <w:rsid w:val="00CD2A83"/>
    <w:rsid w:val="00CD30C5"/>
    <w:rsid w:val="00CD54BF"/>
    <w:rsid w:val="00CD6E8E"/>
    <w:rsid w:val="00CE22E7"/>
    <w:rsid w:val="00CE4D5C"/>
    <w:rsid w:val="00CF05DA"/>
    <w:rsid w:val="00CF58EB"/>
    <w:rsid w:val="00CF6FEC"/>
    <w:rsid w:val="00D0106E"/>
    <w:rsid w:val="00D06383"/>
    <w:rsid w:val="00D15DFD"/>
    <w:rsid w:val="00D20E85"/>
    <w:rsid w:val="00D24615"/>
    <w:rsid w:val="00D27246"/>
    <w:rsid w:val="00D37842"/>
    <w:rsid w:val="00D37C03"/>
    <w:rsid w:val="00D42DC2"/>
    <w:rsid w:val="00D4302B"/>
    <w:rsid w:val="00D449B3"/>
    <w:rsid w:val="00D5245A"/>
    <w:rsid w:val="00D537E1"/>
    <w:rsid w:val="00D5411D"/>
    <w:rsid w:val="00D55BB2"/>
    <w:rsid w:val="00D6091A"/>
    <w:rsid w:val="00D6605A"/>
    <w:rsid w:val="00D6695F"/>
    <w:rsid w:val="00D706F8"/>
    <w:rsid w:val="00D72A88"/>
    <w:rsid w:val="00D73797"/>
    <w:rsid w:val="00D75644"/>
    <w:rsid w:val="00D81656"/>
    <w:rsid w:val="00D82690"/>
    <w:rsid w:val="00D83D87"/>
    <w:rsid w:val="00D84A6D"/>
    <w:rsid w:val="00D86A30"/>
    <w:rsid w:val="00D97CB4"/>
    <w:rsid w:val="00D97DD4"/>
    <w:rsid w:val="00DA2E7F"/>
    <w:rsid w:val="00DA4323"/>
    <w:rsid w:val="00DA5A8A"/>
    <w:rsid w:val="00DA66E5"/>
    <w:rsid w:val="00DB1170"/>
    <w:rsid w:val="00DB26CD"/>
    <w:rsid w:val="00DB441C"/>
    <w:rsid w:val="00DB44AF"/>
    <w:rsid w:val="00DC1F58"/>
    <w:rsid w:val="00DC339B"/>
    <w:rsid w:val="00DC5D40"/>
    <w:rsid w:val="00DC69A7"/>
    <w:rsid w:val="00DD184B"/>
    <w:rsid w:val="00DD1C72"/>
    <w:rsid w:val="00DD30E9"/>
    <w:rsid w:val="00DD439F"/>
    <w:rsid w:val="00DD4F47"/>
    <w:rsid w:val="00DD7FBB"/>
    <w:rsid w:val="00DE0B9F"/>
    <w:rsid w:val="00DE2A9E"/>
    <w:rsid w:val="00DE4238"/>
    <w:rsid w:val="00DE47D9"/>
    <w:rsid w:val="00DE657F"/>
    <w:rsid w:val="00DF1218"/>
    <w:rsid w:val="00DF6462"/>
    <w:rsid w:val="00E02E10"/>
    <w:rsid w:val="00E02FA0"/>
    <w:rsid w:val="00E036DC"/>
    <w:rsid w:val="00E10454"/>
    <w:rsid w:val="00E112E5"/>
    <w:rsid w:val="00E122D8"/>
    <w:rsid w:val="00E12CC8"/>
    <w:rsid w:val="00E133C1"/>
    <w:rsid w:val="00E15352"/>
    <w:rsid w:val="00E17B69"/>
    <w:rsid w:val="00E21CC7"/>
    <w:rsid w:val="00E24D9E"/>
    <w:rsid w:val="00E25849"/>
    <w:rsid w:val="00E3181A"/>
    <w:rsid w:val="00E3197E"/>
    <w:rsid w:val="00E342F8"/>
    <w:rsid w:val="00E351ED"/>
    <w:rsid w:val="00E40EF0"/>
    <w:rsid w:val="00E6034B"/>
    <w:rsid w:val="00E6198D"/>
    <w:rsid w:val="00E6549E"/>
    <w:rsid w:val="00E656B5"/>
    <w:rsid w:val="00E65EDE"/>
    <w:rsid w:val="00E66CCB"/>
    <w:rsid w:val="00E70F81"/>
    <w:rsid w:val="00E77055"/>
    <w:rsid w:val="00E77460"/>
    <w:rsid w:val="00E816B0"/>
    <w:rsid w:val="00E83ABC"/>
    <w:rsid w:val="00E844F2"/>
    <w:rsid w:val="00E84A1D"/>
    <w:rsid w:val="00E90AD0"/>
    <w:rsid w:val="00E90E6F"/>
    <w:rsid w:val="00E92FCB"/>
    <w:rsid w:val="00E940DD"/>
    <w:rsid w:val="00EA147F"/>
    <w:rsid w:val="00EA4A27"/>
    <w:rsid w:val="00EA4FA6"/>
    <w:rsid w:val="00EB1A25"/>
    <w:rsid w:val="00EC055A"/>
    <w:rsid w:val="00EC391A"/>
    <w:rsid w:val="00EC4BB8"/>
    <w:rsid w:val="00EC7363"/>
    <w:rsid w:val="00ED03AB"/>
    <w:rsid w:val="00ED1963"/>
    <w:rsid w:val="00ED1CD4"/>
    <w:rsid w:val="00ED1D2B"/>
    <w:rsid w:val="00ED2F6F"/>
    <w:rsid w:val="00ED64B5"/>
    <w:rsid w:val="00EE0493"/>
    <w:rsid w:val="00EE47A4"/>
    <w:rsid w:val="00EE5F76"/>
    <w:rsid w:val="00EE7CCA"/>
    <w:rsid w:val="00F04C1B"/>
    <w:rsid w:val="00F1522B"/>
    <w:rsid w:val="00F16A14"/>
    <w:rsid w:val="00F17152"/>
    <w:rsid w:val="00F33098"/>
    <w:rsid w:val="00F362D7"/>
    <w:rsid w:val="00F37D7B"/>
    <w:rsid w:val="00F52977"/>
    <w:rsid w:val="00F5314C"/>
    <w:rsid w:val="00F5688C"/>
    <w:rsid w:val="00F56E20"/>
    <w:rsid w:val="00F57DBC"/>
    <w:rsid w:val="00F60048"/>
    <w:rsid w:val="00F618F4"/>
    <w:rsid w:val="00F635DD"/>
    <w:rsid w:val="00F6627B"/>
    <w:rsid w:val="00F7336E"/>
    <w:rsid w:val="00F734F2"/>
    <w:rsid w:val="00F75052"/>
    <w:rsid w:val="00F7748F"/>
    <w:rsid w:val="00F804D3"/>
    <w:rsid w:val="00F816CB"/>
    <w:rsid w:val="00F81CD2"/>
    <w:rsid w:val="00F82641"/>
    <w:rsid w:val="00F83B14"/>
    <w:rsid w:val="00F90F18"/>
    <w:rsid w:val="00F9223B"/>
    <w:rsid w:val="00F937E4"/>
    <w:rsid w:val="00F95EE7"/>
    <w:rsid w:val="00F961E6"/>
    <w:rsid w:val="00FA39E6"/>
    <w:rsid w:val="00FA7BC9"/>
    <w:rsid w:val="00FB378E"/>
    <w:rsid w:val="00FB37F1"/>
    <w:rsid w:val="00FB47C0"/>
    <w:rsid w:val="00FB501B"/>
    <w:rsid w:val="00FB7770"/>
    <w:rsid w:val="00FB7B88"/>
    <w:rsid w:val="00FD03AA"/>
    <w:rsid w:val="00FD3B91"/>
    <w:rsid w:val="00FD576B"/>
    <w:rsid w:val="00FD579E"/>
    <w:rsid w:val="00FD6845"/>
    <w:rsid w:val="00FE188D"/>
    <w:rsid w:val="00FE4516"/>
    <w:rsid w:val="00FE64C8"/>
    <w:rsid w:val="00FF2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4908FD-3500-4A28-A423-C893FB96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B27517"/>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e"/>
    <w:unhideWhenUsed/>
    <w:rsid w:val="007E5F58"/>
    <w:pPr>
      <w:snapToGrid w:val="0"/>
      <w:jc w:val="left"/>
    </w:pPr>
    <w:rPr>
      <w:sz w:val="20"/>
    </w:rPr>
  </w:style>
  <w:style w:type="character" w:customStyle="1" w:styleId="afe">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d"/>
    <w:rsid w:val="007E5F58"/>
    <w:rPr>
      <w:rFonts w:ascii="標楷體" w:eastAsia="標楷體"/>
      <w:kern w:val="2"/>
    </w:rPr>
  </w:style>
  <w:style w:type="character" w:styleId="aff">
    <w:name w:val="footnote reference"/>
    <w:basedOn w:val="a7"/>
    <w:semiHidden/>
    <w:unhideWhenUsed/>
    <w:rsid w:val="007E5F58"/>
    <w:rPr>
      <w:vertAlign w:val="superscript"/>
    </w:rPr>
  </w:style>
  <w:style w:type="character" w:customStyle="1" w:styleId="30">
    <w:name w:val="標題 3 字元"/>
    <w:basedOn w:val="a7"/>
    <w:link w:val="3"/>
    <w:rsid w:val="00AE1006"/>
    <w:rPr>
      <w:rFonts w:ascii="標楷體" w:eastAsia="標楷體" w:hAnsi="Arial"/>
      <w:bCs/>
      <w:kern w:val="32"/>
      <w:sz w:val="32"/>
      <w:szCs w:val="36"/>
    </w:rPr>
  </w:style>
  <w:style w:type="character" w:customStyle="1" w:styleId="40">
    <w:name w:val="標題 4 字元"/>
    <w:basedOn w:val="a7"/>
    <w:link w:val="4"/>
    <w:rsid w:val="00AE1006"/>
    <w:rPr>
      <w:rFonts w:ascii="標楷體" w:eastAsia="標楷體" w:hAnsi="Arial"/>
      <w:kern w:val="32"/>
      <w:sz w:val="32"/>
      <w:szCs w:val="36"/>
    </w:rPr>
  </w:style>
  <w:style w:type="character" w:customStyle="1" w:styleId="af4">
    <w:name w:val="頁尾 字元"/>
    <w:basedOn w:val="a7"/>
    <w:link w:val="af3"/>
    <w:uiPriority w:val="99"/>
    <w:rsid w:val="006E192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452387">
      <w:bodyDiv w:val="1"/>
      <w:marLeft w:val="0"/>
      <w:marRight w:val="0"/>
      <w:marTop w:val="0"/>
      <w:marBottom w:val="0"/>
      <w:divBdr>
        <w:top w:val="none" w:sz="0" w:space="0" w:color="auto"/>
        <w:left w:val="none" w:sz="0" w:space="0" w:color="auto"/>
        <w:bottom w:val="none" w:sz="0" w:space="0" w:color="auto"/>
        <w:right w:val="none" w:sz="0" w:space="0" w:color="auto"/>
      </w:divBdr>
    </w:div>
    <w:div w:id="609238033">
      <w:bodyDiv w:val="1"/>
      <w:marLeft w:val="0"/>
      <w:marRight w:val="0"/>
      <w:marTop w:val="0"/>
      <w:marBottom w:val="0"/>
      <w:divBdr>
        <w:top w:val="none" w:sz="0" w:space="0" w:color="auto"/>
        <w:left w:val="none" w:sz="0" w:space="0" w:color="auto"/>
        <w:bottom w:val="none" w:sz="0" w:space="0" w:color="auto"/>
        <w:right w:val="none" w:sz="0" w:space="0" w:color="auto"/>
      </w:divBdr>
    </w:div>
    <w:div w:id="7448410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99887513">
      <w:bodyDiv w:val="1"/>
      <w:marLeft w:val="0"/>
      <w:marRight w:val="0"/>
      <w:marTop w:val="0"/>
      <w:marBottom w:val="0"/>
      <w:divBdr>
        <w:top w:val="none" w:sz="0" w:space="0" w:color="auto"/>
        <w:left w:val="none" w:sz="0" w:space="0" w:color="auto"/>
        <w:bottom w:val="none" w:sz="0" w:space="0" w:color="auto"/>
        <w:right w:val="none" w:sz="0" w:space="0" w:color="auto"/>
      </w:divBdr>
    </w:div>
    <w:div w:id="20514212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B928-7471-49FD-8CD5-6221B7BA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61</Pages>
  <Words>4508</Words>
  <Characters>25698</Characters>
  <Application>Microsoft Office Word</Application>
  <DocSecurity>0</DocSecurity>
  <Lines>214</Lines>
  <Paragraphs>60</Paragraphs>
  <ScaleCrop>false</ScaleCrop>
  <Company>cy</Company>
  <LinksUpToDate>false</LinksUpToDate>
  <CharactersWithSpaces>30146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陳淑娟</cp:lastModifiedBy>
  <cp:revision>2</cp:revision>
  <cp:lastPrinted>2018-07-06T06:57:00Z</cp:lastPrinted>
  <dcterms:created xsi:type="dcterms:W3CDTF">2018-07-20T09:21:00Z</dcterms:created>
  <dcterms:modified xsi:type="dcterms:W3CDTF">2018-07-20T09:21:00Z</dcterms:modified>
</cp:coreProperties>
</file>