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18" w:rsidRPr="000C2118" w:rsidRDefault="000C2118" w:rsidP="000C2118">
      <w:pPr>
        <w:jc w:val="left"/>
        <w:rPr>
          <w:rFonts w:hint="eastAsia"/>
          <w:bdr w:val="single" w:sz="4" w:space="0" w:color="auto"/>
        </w:rPr>
      </w:pPr>
      <w:r w:rsidRPr="000C2118">
        <w:rPr>
          <w:rFonts w:hint="eastAsia"/>
          <w:bdr w:val="single" w:sz="4" w:space="0" w:color="auto"/>
        </w:rPr>
        <w:t>附件二</w:t>
      </w:r>
      <w:bookmarkStart w:id="0" w:name="_GoBack"/>
      <w:bookmarkEnd w:id="0"/>
    </w:p>
    <w:p w:rsidR="000C2118" w:rsidRPr="00607A46" w:rsidRDefault="000C2118" w:rsidP="000C2118">
      <w:pPr>
        <w:pStyle w:val="a"/>
        <w:jc w:val="center"/>
        <w:rPr>
          <w:rFonts w:hint="eastAsia"/>
        </w:rPr>
      </w:pPr>
      <w:r w:rsidRPr="00607A46">
        <w:rPr>
          <w:rFonts w:hint="eastAsia"/>
        </w:rPr>
        <w:t>各縣市歷年績效指標達成情形</w:t>
      </w:r>
    </w:p>
    <w:tbl>
      <w:tblPr>
        <w:tblW w:w="9271" w:type="dxa"/>
        <w:jc w:val="center"/>
        <w:tblInd w:w="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943"/>
        <w:gridCol w:w="755"/>
        <w:gridCol w:w="999"/>
        <w:gridCol w:w="699"/>
        <w:gridCol w:w="853"/>
        <w:gridCol w:w="705"/>
        <w:gridCol w:w="853"/>
        <w:gridCol w:w="705"/>
        <w:gridCol w:w="853"/>
        <w:gridCol w:w="95"/>
        <w:gridCol w:w="635"/>
        <w:gridCol w:w="747"/>
      </w:tblGrid>
      <w:tr w:rsidR="000C2118" w:rsidRPr="00607A46" w:rsidTr="003522A2">
        <w:trPr>
          <w:trHeight w:val="340"/>
          <w:tblHeader/>
          <w:jc w:val="center"/>
        </w:trPr>
        <w:tc>
          <w:tcPr>
            <w:tcW w:w="1368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 xml:space="preserve">  比率</w:t>
            </w:r>
            <w:r w:rsidRPr="00607A46">
              <w:br/>
            </w:r>
            <w:r w:rsidRPr="00607A46">
              <w:rPr>
                <w:rFonts w:hint="eastAsia"/>
              </w:rPr>
              <w:t>趟次</w:t>
            </w:r>
          </w:p>
          <w:p w:rsidR="000C2118" w:rsidRPr="00607A46" w:rsidRDefault="000C2118" w:rsidP="003522A2">
            <w:pPr>
              <w:pStyle w:val="12"/>
            </w:pPr>
          </w:p>
          <w:p w:rsidR="000C2118" w:rsidRPr="00607A46" w:rsidRDefault="000C2118" w:rsidP="003522A2">
            <w:pPr>
              <w:pStyle w:val="12"/>
            </w:pPr>
            <w:r w:rsidRPr="00607A46">
              <w:t>縣市別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proofErr w:type="gramStart"/>
            <w:r w:rsidRPr="00607A46">
              <w:t>106</w:t>
            </w:r>
            <w:proofErr w:type="gramEnd"/>
            <w:r w:rsidRPr="00607A46">
              <w:t>年度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proofErr w:type="gramStart"/>
            <w:r w:rsidRPr="00607A46">
              <w:t>105</w:t>
            </w:r>
            <w:proofErr w:type="gramEnd"/>
            <w:r w:rsidRPr="00607A46">
              <w:t>年度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  <w:rPr>
                <w:b/>
              </w:rPr>
            </w:pPr>
            <w:proofErr w:type="gramStart"/>
            <w:r w:rsidRPr="00607A46">
              <w:t>104</w:t>
            </w:r>
            <w:proofErr w:type="gramEnd"/>
            <w:r w:rsidRPr="00607A46">
              <w:t>年度</w:t>
            </w:r>
          </w:p>
        </w:tc>
        <w:tc>
          <w:tcPr>
            <w:tcW w:w="1654" w:type="dxa"/>
            <w:gridSpan w:val="3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proofErr w:type="gramStart"/>
            <w:r w:rsidRPr="00607A46">
              <w:t>103</w:t>
            </w:r>
            <w:proofErr w:type="gramEnd"/>
            <w:r w:rsidRPr="00607A46">
              <w:t>年度</w:t>
            </w:r>
          </w:p>
        </w:tc>
        <w:tc>
          <w:tcPr>
            <w:tcW w:w="1382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proofErr w:type="gramStart"/>
            <w:r w:rsidRPr="00607A46">
              <w:t>10</w:t>
            </w:r>
            <w:r w:rsidRPr="00607A46">
              <w:rPr>
                <w:rFonts w:hint="eastAsia"/>
              </w:rPr>
              <w:t>2</w:t>
            </w:r>
            <w:proofErr w:type="gramEnd"/>
            <w:r w:rsidRPr="00607A46">
              <w:t>年度</w:t>
            </w:r>
          </w:p>
        </w:tc>
      </w:tr>
      <w:tr w:rsidR="000C2118" w:rsidRPr="00607A46" w:rsidTr="003522A2">
        <w:trPr>
          <w:trHeight w:val="340"/>
          <w:tblHeader/>
          <w:jc w:val="center"/>
        </w:trPr>
        <w:tc>
          <w:tcPr>
            <w:tcW w:w="1368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乘載</w:t>
            </w:r>
            <w:r w:rsidRPr="00607A46">
              <w:t>行動不便者</w:t>
            </w:r>
          </w:p>
        </w:tc>
      </w:tr>
      <w:tr w:rsidR="000C2118" w:rsidRPr="00607A46" w:rsidTr="003522A2">
        <w:trPr>
          <w:trHeight w:val="680"/>
          <w:tblHeader/>
          <w:jc w:val="center"/>
        </w:trPr>
        <w:tc>
          <w:tcPr>
            <w:tcW w:w="1368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比率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派車</w:t>
            </w:r>
            <w:r w:rsidRPr="00607A46">
              <w:rPr>
                <w:rFonts w:hint="eastAsia"/>
              </w:rPr>
              <w:br/>
            </w:r>
            <w:proofErr w:type="gramStart"/>
            <w:r w:rsidRPr="00607A46">
              <w:t>趟次</w:t>
            </w:r>
            <w:proofErr w:type="gramEnd"/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比率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派車</w:t>
            </w:r>
            <w:r w:rsidRPr="00607A46">
              <w:rPr>
                <w:rFonts w:hint="eastAsia"/>
              </w:rPr>
              <w:br/>
            </w:r>
            <w:proofErr w:type="gramStart"/>
            <w:r w:rsidRPr="00607A46">
              <w:t>趟次</w:t>
            </w:r>
            <w:proofErr w:type="gramEnd"/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比率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派車</w:t>
            </w:r>
            <w:r w:rsidRPr="00607A46">
              <w:rPr>
                <w:rFonts w:hint="eastAsia"/>
              </w:rPr>
              <w:br/>
            </w:r>
            <w:proofErr w:type="gramStart"/>
            <w:r w:rsidRPr="00607A46">
              <w:t>趟次</w:t>
            </w:r>
            <w:proofErr w:type="gramEnd"/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比率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派車</w:t>
            </w:r>
            <w:r w:rsidRPr="00607A46">
              <w:rPr>
                <w:rFonts w:hint="eastAsia"/>
              </w:rPr>
              <w:br/>
            </w:r>
            <w:proofErr w:type="gramStart"/>
            <w:r w:rsidRPr="00607A46">
              <w:t>趟次</w:t>
            </w:r>
            <w:proofErr w:type="gramEnd"/>
          </w:p>
        </w:tc>
        <w:tc>
          <w:tcPr>
            <w:tcW w:w="730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比率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center"/>
            </w:pPr>
            <w:r w:rsidRPr="00607A46">
              <w:t>派車</w:t>
            </w:r>
            <w:r w:rsidRPr="00607A46">
              <w:rPr>
                <w:rFonts w:hint="eastAsia"/>
              </w:rPr>
              <w:br/>
            </w:r>
            <w:proofErr w:type="gramStart"/>
            <w:r w:rsidRPr="00607A46">
              <w:t>趟次</w:t>
            </w:r>
            <w:proofErr w:type="gramEnd"/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基隆市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4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353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30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臺北市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70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104,620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6</w:t>
            </w:r>
            <w:r w:rsidRPr="00607A46">
              <w:rPr>
                <w:rFonts w:hint="eastAsia"/>
              </w:rPr>
              <w:t>1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60,826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60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58,271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8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14,107</w:t>
            </w:r>
          </w:p>
        </w:tc>
        <w:tc>
          <w:tcPr>
            <w:tcW w:w="730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50%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9,604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新北市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</w:t>
            </w:r>
            <w:r w:rsidRPr="00607A46">
              <w:rPr>
                <w:rFonts w:hint="eastAsia"/>
              </w:rPr>
              <w:t>8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111,116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</w:t>
            </w:r>
            <w:r w:rsidRPr="00607A46">
              <w:rPr>
                <w:rFonts w:hint="eastAsia"/>
              </w:rPr>
              <w:t>3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84,740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37%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37,104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20%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13,549</w:t>
            </w:r>
          </w:p>
        </w:tc>
        <w:tc>
          <w:tcPr>
            <w:tcW w:w="730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19%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396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桃園市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94%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19,238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92%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8,020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76%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1,185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36%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16</w:t>
            </w:r>
          </w:p>
        </w:tc>
        <w:tc>
          <w:tcPr>
            <w:tcW w:w="730" w:type="dxa"/>
            <w:gridSpan w:val="2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新竹縣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新竹市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</w:t>
            </w:r>
            <w:r w:rsidRPr="00607A46">
              <w:rPr>
                <w:rFonts w:hint="eastAsia"/>
              </w:rPr>
              <w:t>3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1,290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苗栗縣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中市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51%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5,223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57%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3,396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39%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2,422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74%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1,790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南投縣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彰化縣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29%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745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雲林縣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</w:t>
            </w:r>
            <w:r w:rsidRPr="00607A46">
              <w:rPr>
                <w:rFonts w:hint="eastAsia"/>
              </w:rPr>
              <w:t>2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4,496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35%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1,258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嘉義縣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5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445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嘉義市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3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855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南市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30%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20,127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3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14,137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2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11,556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</w:t>
            </w:r>
            <w:r w:rsidRPr="00607A46">
              <w:rPr>
                <w:rFonts w:hint="eastAsia"/>
              </w:rPr>
              <w:t>3</w:t>
            </w:r>
            <w:r w:rsidRPr="00607A46">
              <w:t>%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4,352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高雄市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71%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124,335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62%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56,304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54%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27,953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52%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22,839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54%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2,027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屏東縣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48%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1,724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61%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2,199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86%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3,666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東縣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</w:t>
            </w:r>
            <w:r w:rsidRPr="00607A46">
              <w:rPr>
                <w:rFonts w:hint="eastAsia"/>
              </w:rPr>
              <w:t>1</w:t>
            </w:r>
            <w:r w:rsidRPr="00607A46"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1,336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</w:t>
            </w:r>
            <w:r w:rsidRPr="00607A46">
              <w:rPr>
                <w:rFonts w:hint="eastAsia"/>
              </w:rPr>
              <w:t>8</w:t>
            </w:r>
            <w:r w:rsidRPr="00607A46"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1,452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花蓮縣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96%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4,786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92%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2,799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635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747" w:type="dxa"/>
            <w:vAlign w:val="center"/>
          </w:tcPr>
          <w:p w:rsidR="000C2118" w:rsidRPr="00607A46" w:rsidRDefault="000C2118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-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19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宜蘭縣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尚未營運，籌備中。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20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澎湖縣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21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金門縣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  <w:tr w:rsidR="000C2118" w:rsidRPr="00607A46" w:rsidTr="003522A2">
        <w:trPr>
          <w:trHeight w:val="369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22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連江縣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0C2118" w:rsidRPr="00607A46" w:rsidRDefault="000C2118" w:rsidP="003522A2">
            <w:pPr>
              <w:pStyle w:val="12"/>
            </w:pPr>
            <w:r w:rsidRPr="00607A46">
              <w:t>未申請無障礙計程車補助。</w:t>
            </w:r>
          </w:p>
        </w:tc>
      </w:tr>
    </w:tbl>
    <w:p w:rsidR="000C2118" w:rsidRPr="006F4C2F" w:rsidRDefault="000C2118" w:rsidP="000C2118">
      <w:pPr>
        <w:pStyle w:val="a5"/>
        <w:rPr>
          <w:rFonts w:hint="eastAsia"/>
          <w:sz w:val="24"/>
        </w:rPr>
      </w:pPr>
      <w:r w:rsidRPr="006F4C2F">
        <w:rPr>
          <w:rFonts w:hint="eastAsia"/>
          <w:sz w:val="24"/>
        </w:rPr>
        <w:t>資料來源：交通部</w:t>
      </w:r>
      <w:r w:rsidRPr="006F4C2F">
        <w:rPr>
          <w:rFonts w:hint="eastAsia"/>
          <w:sz w:val="24"/>
        </w:rPr>
        <w:br/>
      </w:r>
      <w:proofErr w:type="gramStart"/>
      <w:r w:rsidRPr="006F4C2F">
        <w:rPr>
          <w:rFonts w:hint="eastAsia"/>
          <w:sz w:val="24"/>
        </w:rPr>
        <w:t>註</w:t>
      </w:r>
      <w:proofErr w:type="gramEnd"/>
      <w:r w:rsidRPr="006F4C2F">
        <w:rPr>
          <w:rFonts w:hint="eastAsia"/>
          <w:sz w:val="24"/>
        </w:rPr>
        <w:t>：104年3月26日</w:t>
      </w:r>
      <w:proofErr w:type="gramStart"/>
      <w:r w:rsidRPr="006F4C2F">
        <w:rPr>
          <w:rFonts w:hint="eastAsia"/>
          <w:sz w:val="24"/>
        </w:rPr>
        <w:t>以前乘</w:t>
      </w:r>
      <w:proofErr w:type="gramEnd"/>
      <w:r w:rsidRPr="006F4C2F">
        <w:rPr>
          <w:rFonts w:hint="eastAsia"/>
          <w:sz w:val="24"/>
        </w:rPr>
        <w:t>載行動不便</w:t>
      </w:r>
      <w:proofErr w:type="gramStart"/>
      <w:r w:rsidRPr="006F4C2F">
        <w:rPr>
          <w:rFonts w:hint="eastAsia"/>
          <w:sz w:val="24"/>
        </w:rPr>
        <w:t>者趟次</w:t>
      </w:r>
      <w:proofErr w:type="gramEnd"/>
      <w:r w:rsidRPr="006F4C2F">
        <w:rPr>
          <w:rFonts w:hint="eastAsia"/>
          <w:sz w:val="24"/>
        </w:rPr>
        <w:t>比率規定為50%，其後修正為30%。</w:t>
      </w:r>
    </w:p>
    <w:p w:rsidR="00647294" w:rsidRPr="000C2118" w:rsidRDefault="00647294"/>
    <w:sectPr w:rsidR="00647294" w:rsidRPr="000C21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F5684"/>
    <w:multiLevelType w:val="hybridMultilevel"/>
    <w:tmpl w:val="15E8C1C8"/>
    <w:lvl w:ilvl="0" w:tplc="93F24858">
      <w:start w:val="1"/>
      <w:numFmt w:val="decimal"/>
      <w:pStyle w:val="a"/>
      <w:lvlText w:val="表%1　"/>
      <w:lvlJc w:val="left"/>
      <w:pPr>
        <w:ind w:left="3032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3512"/>
        </w:tabs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92"/>
        </w:tabs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2"/>
        </w:tabs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52"/>
        </w:tabs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2"/>
        </w:tabs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2"/>
        </w:tabs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92"/>
        </w:tabs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18"/>
    <w:rsid w:val="000C2118"/>
    <w:rsid w:val="006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2118"/>
    <w:pPr>
      <w:widowControl w:val="0"/>
      <w:overflowPunct w:val="0"/>
      <w:autoSpaceDE w:val="0"/>
      <w:autoSpaceDN w:val="0"/>
      <w:jc w:val="both"/>
    </w:pPr>
    <w:rPr>
      <w:rFonts w:ascii="標楷體" w:eastAsia="標楷體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標題"/>
    <w:link w:val="a4"/>
    <w:qFormat/>
    <w:rsid w:val="000C2118"/>
    <w:pPr>
      <w:keepNext/>
      <w:widowControl w:val="0"/>
      <w:numPr>
        <w:numId w:val="1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  <w:style w:type="paragraph" w:customStyle="1" w:styleId="a5">
    <w:name w:val="資料來源"/>
    <w:basedOn w:val="a0"/>
    <w:rsid w:val="000C2118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12">
    <w:name w:val="表格12"/>
    <w:basedOn w:val="a0"/>
    <w:rsid w:val="000C2118"/>
    <w:pPr>
      <w:adjustRightInd w:val="0"/>
      <w:snapToGrid w:val="0"/>
      <w:spacing w:line="300" w:lineRule="exact"/>
    </w:pPr>
    <w:rPr>
      <w:snapToGrid w:val="0"/>
      <w:spacing w:val="-14"/>
      <w:kern w:val="0"/>
      <w:sz w:val="24"/>
      <w:szCs w:val="24"/>
    </w:rPr>
  </w:style>
  <w:style w:type="character" w:customStyle="1" w:styleId="a4">
    <w:name w:val="表標題 字元"/>
    <w:link w:val="a"/>
    <w:rsid w:val="000C2118"/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2118"/>
    <w:pPr>
      <w:widowControl w:val="0"/>
      <w:overflowPunct w:val="0"/>
      <w:autoSpaceDE w:val="0"/>
      <w:autoSpaceDN w:val="0"/>
      <w:jc w:val="both"/>
    </w:pPr>
    <w:rPr>
      <w:rFonts w:ascii="標楷體" w:eastAsia="標楷體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標題"/>
    <w:link w:val="a4"/>
    <w:qFormat/>
    <w:rsid w:val="000C2118"/>
    <w:pPr>
      <w:keepNext/>
      <w:widowControl w:val="0"/>
      <w:numPr>
        <w:numId w:val="1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  <w:style w:type="paragraph" w:customStyle="1" w:styleId="a5">
    <w:name w:val="資料來源"/>
    <w:basedOn w:val="a0"/>
    <w:rsid w:val="000C2118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12">
    <w:name w:val="表格12"/>
    <w:basedOn w:val="a0"/>
    <w:rsid w:val="000C2118"/>
    <w:pPr>
      <w:adjustRightInd w:val="0"/>
      <w:snapToGrid w:val="0"/>
      <w:spacing w:line="300" w:lineRule="exact"/>
    </w:pPr>
    <w:rPr>
      <w:snapToGrid w:val="0"/>
      <w:spacing w:val="-14"/>
      <w:kern w:val="0"/>
      <w:sz w:val="24"/>
      <w:szCs w:val="24"/>
    </w:rPr>
  </w:style>
  <w:style w:type="character" w:customStyle="1" w:styleId="a4">
    <w:name w:val="表標題 字元"/>
    <w:link w:val="a"/>
    <w:rsid w:val="000C2118"/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劉佳恩</dc:creator>
  <cp:lastModifiedBy>劉佳恩</cp:lastModifiedBy>
  <cp:revision>1</cp:revision>
  <dcterms:created xsi:type="dcterms:W3CDTF">2018-06-12T03:07:00Z</dcterms:created>
  <dcterms:modified xsi:type="dcterms:W3CDTF">2018-06-12T03:08:00Z</dcterms:modified>
</cp:coreProperties>
</file>