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FF7FF8" w:rsidRDefault="00CE2263" w:rsidP="00F37D7B">
      <w:pPr>
        <w:pStyle w:val="af2"/>
        <w:rPr>
          <w:rFonts w:hAnsi="標楷體"/>
        </w:rPr>
      </w:pPr>
      <w:r w:rsidRPr="00FF7FF8">
        <w:rPr>
          <w:rFonts w:hAnsi="標楷體" w:hint="eastAsia"/>
        </w:rPr>
        <w:t>調查報告</w:t>
      </w:r>
    </w:p>
    <w:p w:rsidR="00E25849" w:rsidRPr="00FF7FF8" w:rsidRDefault="00E25849" w:rsidP="00CB49D9">
      <w:pPr>
        <w:pStyle w:val="1"/>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FF7FF8">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B49D9" w:rsidRPr="00FF7FF8">
        <w:rPr>
          <w:rFonts w:hAnsi="標楷體" w:hint="eastAsia"/>
        </w:rPr>
        <w:t>據悉，我國自民國97年修正毒品危害防制條例第24條推動緩起訴戒癮治療試辦及實施之刑事政策以來，在法治面、執行面及成效上，爭議不少。</w:t>
      </w:r>
      <w:r w:rsidR="00A8168A" w:rsidRPr="00FF7FF8">
        <w:rPr>
          <w:rFonts w:hAnsi="標楷體" w:hint="eastAsia"/>
        </w:rPr>
        <w:t>新北地方檢察署</w:t>
      </w:r>
      <w:r w:rsidR="00CB49D9" w:rsidRPr="00FF7FF8">
        <w:rPr>
          <w:rFonts w:hAnsi="標楷體" w:hint="eastAsia"/>
        </w:rPr>
        <w:t>推行「毒偵」案件分流，為符合政策目標，將大量案件於分案之初即全權交予檢察事務官輪分辦理開庭、撰擬書類，導致承辦股檢察官對案件掌握度不足，有偵查權旁落疑慮。究此案件分流作法是否與法院組織法設置檢察事務官之目的相違、並使偵查權空洞化，影響人民訴訟權益，有深入瞭解之必要案。</w:t>
      </w:r>
    </w:p>
    <w:p w:rsidR="00672417" w:rsidRPr="00FF7FF8" w:rsidRDefault="00672417" w:rsidP="004E05A1">
      <w:pPr>
        <w:pStyle w:val="1"/>
        <w:ind w:left="2380" w:hanging="2380"/>
        <w:rPr>
          <w:rFonts w:hAnsi="標楷體"/>
        </w:rPr>
      </w:pPr>
      <w:bookmarkStart w:id="25" w:name="_Toc524895648"/>
      <w:bookmarkStart w:id="26" w:name="_Toc524896194"/>
      <w:bookmarkStart w:id="27" w:name="_Toc524896224"/>
      <w:bookmarkStart w:id="28" w:name="_Toc524902734"/>
      <w:bookmarkStart w:id="29" w:name="_Toc525066148"/>
      <w:bookmarkStart w:id="30" w:name="_Toc525070839"/>
      <w:bookmarkStart w:id="31" w:name="_Toc525938379"/>
      <w:bookmarkStart w:id="32" w:name="_Toc525939227"/>
      <w:bookmarkStart w:id="33" w:name="_Toc525939732"/>
      <w:bookmarkStart w:id="34" w:name="_Toc529218272"/>
      <w:bookmarkStart w:id="35" w:name="_Toc529222689"/>
      <w:bookmarkStart w:id="36" w:name="_Toc529223111"/>
      <w:bookmarkStart w:id="37" w:name="_Toc529223862"/>
      <w:bookmarkStart w:id="38" w:name="_Toc529228265"/>
      <w:bookmarkStart w:id="39" w:name="_Toc2400395"/>
      <w:bookmarkStart w:id="40" w:name="_Toc4316189"/>
      <w:bookmarkStart w:id="41" w:name="_Toc4473330"/>
      <w:bookmarkStart w:id="42" w:name="_Toc69556897"/>
      <w:bookmarkStart w:id="43" w:name="_Toc69556946"/>
      <w:bookmarkStart w:id="44" w:name="_Toc69609820"/>
      <w:bookmarkStart w:id="45" w:name="_Toc70241816"/>
      <w:bookmarkStart w:id="46" w:name="_Toc70242205"/>
      <w:bookmarkStart w:id="47" w:name="_Toc421794875"/>
      <w:bookmarkStart w:id="48" w:name="_Toc422834160"/>
      <w:r w:rsidRPr="00FF7FF8">
        <w:rPr>
          <w:rFonts w:hAnsi="標楷體" w:hint="eastAsia"/>
        </w:rPr>
        <w:t>調查意見：</w:t>
      </w:r>
    </w:p>
    <w:p w:rsidR="003A15E3" w:rsidRPr="00FF7FF8" w:rsidRDefault="003A15E3" w:rsidP="003A15E3">
      <w:pPr>
        <w:pStyle w:val="11"/>
        <w:ind w:left="680" w:firstLine="680"/>
      </w:pPr>
      <w:r w:rsidRPr="00FF7FF8">
        <w:rPr>
          <w:rFonts w:hint="eastAsia"/>
        </w:rPr>
        <w:t>有關「據悉，我國自民國</w:t>
      </w:r>
      <w:r w:rsidR="000C24F3" w:rsidRPr="00FF7FF8">
        <w:rPr>
          <w:rFonts w:hint="eastAsia"/>
        </w:rPr>
        <w:t>（下同）</w:t>
      </w:r>
      <w:r w:rsidRPr="00FF7FF8">
        <w:rPr>
          <w:rFonts w:hint="eastAsia"/>
        </w:rPr>
        <w:t>97年修正毒品危害防制條例第24條推動緩起訴戒癮治療試辦及實施之刑事政策以來，在法治面、執行面及成效上，爭議不少。</w:t>
      </w:r>
      <w:r w:rsidR="00A8168A" w:rsidRPr="00FF7FF8">
        <w:rPr>
          <w:rFonts w:hint="eastAsia"/>
        </w:rPr>
        <w:t>新北地方檢察署</w:t>
      </w:r>
      <w:r w:rsidRPr="00FF7FF8">
        <w:rPr>
          <w:rFonts w:hint="eastAsia"/>
        </w:rPr>
        <w:t>推行</w:t>
      </w:r>
      <w:r w:rsidR="006E2A4C" w:rsidRPr="00FF7FF8">
        <w:rPr>
          <w:rFonts w:hint="eastAsia"/>
        </w:rPr>
        <w:t>『</w:t>
      </w:r>
      <w:r w:rsidRPr="00FF7FF8">
        <w:rPr>
          <w:rFonts w:hint="eastAsia"/>
        </w:rPr>
        <w:t>毒偵</w:t>
      </w:r>
      <w:r w:rsidR="006E2A4C" w:rsidRPr="00FF7FF8">
        <w:rPr>
          <w:rFonts w:hint="eastAsia"/>
        </w:rPr>
        <w:t>』</w:t>
      </w:r>
      <w:r w:rsidRPr="00FF7FF8">
        <w:rPr>
          <w:rFonts w:hint="eastAsia"/>
        </w:rPr>
        <w:t>案件分流，為符合政策目標，將大量案件於分案之初即全權交予檢察事務官輪分辦理開庭、撰擬書類，導致承辦股檢察官對案件掌握度不足，有偵查權旁落</w:t>
      </w:r>
      <w:r w:rsidR="00033107" w:rsidRPr="00FF7FF8">
        <w:rPr>
          <w:rFonts w:hint="eastAsia"/>
        </w:rPr>
        <w:t>疑慮。究此案件分流作法是否與法院組織法設置檢察事務官之目的相違，</w:t>
      </w:r>
      <w:r w:rsidRPr="00FF7FF8">
        <w:rPr>
          <w:rFonts w:hint="eastAsia"/>
        </w:rPr>
        <w:t>並使偵查權空洞化，影響人民訴訟權益，有深入瞭解之必要案。」案經委員自動調查，</w:t>
      </w:r>
      <w:r w:rsidR="000A4374" w:rsidRPr="00FF7FF8">
        <w:rPr>
          <w:rFonts w:hint="eastAsia"/>
        </w:rPr>
        <w:t>並</w:t>
      </w:r>
      <w:r w:rsidRPr="00FF7FF8">
        <w:rPr>
          <w:rFonts w:hint="eastAsia"/>
        </w:rPr>
        <w:t>函請法務部及</w:t>
      </w:r>
      <w:r w:rsidR="00D4643A" w:rsidRPr="00FF7FF8">
        <w:rPr>
          <w:rFonts w:hint="eastAsia"/>
        </w:rPr>
        <w:t>臺灣</w:t>
      </w:r>
      <w:r w:rsidRPr="00FF7FF8">
        <w:rPr>
          <w:rFonts w:hint="eastAsia"/>
        </w:rPr>
        <w:t>新北地方檢察署說明，</w:t>
      </w:r>
      <w:r w:rsidR="006E2A4C" w:rsidRPr="00FF7FF8">
        <w:rPr>
          <w:rFonts w:hint="eastAsia"/>
        </w:rPr>
        <w:t>邀請</w:t>
      </w:r>
      <w:r w:rsidR="00D4643A" w:rsidRPr="00FF7FF8">
        <w:rPr>
          <w:rFonts w:hint="eastAsia"/>
        </w:rPr>
        <w:t>臺灣</w:t>
      </w:r>
      <w:r w:rsidR="006E2A4C" w:rsidRPr="00FF7FF8">
        <w:rPr>
          <w:rFonts w:hint="eastAsia"/>
        </w:rPr>
        <w:t>新北地方檢察署檢察官至本院說明該署處理施用毒品案件之現況，</w:t>
      </w:r>
      <w:r w:rsidR="000A4374" w:rsidRPr="00FF7FF8">
        <w:rPr>
          <w:rFonts w:hint="eastAsia"/>
        </w:rPr>
        <w:t>及</w:t>
      </w:r>
      <w:r w:rsidR="006E2A4C" w:rsidRPr="00FF7FF8">
        <w:rPr>
          <w:rFonts w:hint="eastAsia"/>
        </w:rPr>
        <w:t>邀請3所地方檢察署檢察事務官說明現行檢察事務官運作機制，已調查完畢，列述調查意見如下：</w:t>
      </w:r>
    </w:p>
    <w:p w:rsidR="00BA4BE3" w:rsidRPr="00FF7FF8" w:rsidRDefault="001F7142" w:rsidP="001F7142">
      <w:pPr>
        <w:pStyle w:val="2"/>
        <w:rPr>
          <w:b/>
        </w:rPr>
      </w:pPr>
      <w:r w:rsidRPr="00FF7FF8">
        <w:rPr>
          <w:rFonts w:hint="eastAsia"/>
          <w:b/>
        </w:rPr>
        <w:t>法務部為符合「新世代反毒策略」及「新世代反毒策略行動綱領」，逐年提升附命完成戒癮治療緩起訴處</w:t>
      </w:r>
      <w:r w:rsidRPr="00FF7FF8">
        <w:rPr>
          <w:rFonts w:hint="eastAsia"/>
          <w:b/>
        </w:rPr>
        <w:lastRenderedPageBreak/>
        <w:t>分之比率，而將施用第一、二級毒品之刑事犯罪行為，視為「病患</w:t>
      </w:r>
      <w:r w:rsidR="00D4643A" w:rsidRPr="00FF7FF8">
        <w:rPr>
          <w:rFonts w:hint="eastAsia"/>
          <w:b/>
        </w:rPr>
        <w:t>型犯人」，透過緩起訴處分進行非刑罰手段之轉向處遇。然於政策推行</w:t>
      </w:r>
      <w:r w:rsidRPr="00FF7FF8">
        <w:rPr>
          <w:rFonts w:hint="eastAsia"/>
          <w:b/>
        </w:rPr>
        <w:t>過程中，仍應重視施用毒品案件為緩起訴處分，其制度目的在於發揮個別預防功能</w:t>
      </w:r>
      <w:r w:rsidR="00541259" w:rsidRPr="00FF7FF8">
        <w:rPr>
          <w:rFonts w:hint="eastAsia"/>
          <w:b/>
        </w:rPr>
        <w:t>，並</w:t>
      </w:r>
      <w:r w:rsidRPr="00FF7FF8">
        <w:rPr>
          <w:rFonts w:hint="eastAsia"/>
          <w:b/>
        </w:rPr>
        <w:t>鼓勵被告自新及復歸社會。依法務部查復</w:t>
      </w:r>
      <w:r w:rsidR="00541259" w:rsidRPr="00FF7FF8">
        <w:rPr>
          <w:rFonts w:hint="eastAsia"/>
          <w:b/>
        </w:rPr>
        <w:t>可知</w:t>
      </w:r>
      <w:r w:rsidRPr="00FF7FF8">
        <w:rPr>
          <w:rFonts w:hint="eastAsia"/>
          <w:b/>
        </w:rPr>
        <w:t>，被告第1次施用毒品為緩起訴處分後，第2次施用毒品</w:t>
      </w:r>
      <w:r w:rsidR="00541259" w:rsidRPr="00FF7FF8">
        <w:rPr>
          <w:rFonts w:hint="eastAsia"/>
          <w:b/>
        </w:rPr>
        <w:t>遭查獲</w:t>
      </w:r>
      <w:r w:rsidRPr="00FF7FF8">
        <w:rPr>
          <w:rFonts w:hint="eastAsia"/>
          <w:b/>
        </w:rPr>
        <w:t>，檢察官可不撤銷第1次緩起訴處分，且續對第2次施用毒品為緩起訴處分</w:t>
      </w:r>
      <w:r w:rsidR="002479FC" w:rsidRPr="00FF7FF8">
        <w:rPr>
          <w:rFonts w:hint="eastAsia"/>
          <w:b/>
        </w:rPr>
        <w:t>。從而似可提升緩起訴處分比率，符合政策推展，惟其結果</w:t>
      </w:r>
      <w:r w:rsidRPr="00FF7FF8">
        <w:rPr>
          <w:rFonts w:hint="eastAsia"/>
          <w:b/>
        </w:rPr>
        <w:t>可能使被告多次施用毒品</w:t>
      </w:r>
      <w:r w:rsidR="009F42EE" w:rsidRPr="00FF7FF8">
        <w:rPr>
          <w:rFonts w:hint="eastAsia"/>
          <w:b/>
        </w:rPr>
        <w:t>之</w:t>
      </w:r>
      <w:r w:rsidRPr="00FF7FF8">
        <w:rPr>
          <w:rFonts w:hint="eastAsia"/>
          <w:b/>
        </w:rPr>
        <w:t>行為</w:t>
      </w:r>
      <w:r w:rsidR="009F42EE" w:rsidRPr="00FF7FF8">
        <w:rPr>
          <w:rFonts w:hint="eastAsia"/>
          <w:b/>
        </w:rPr>
        <w:t>，</w:t>
      </w:r>
      <w:r w:rsidRPr="00FF7FF8">
        <w:rPr>
          <w:rFonts w:hint="eastAsia"/>
          <w:b/>
        </w:rPr>
        <w:t>均</w:t>
      </w:r>
      <w:r w:rsidR="00541259" w:rsidRPr="00FF7FF8">
        <w:rPr>
          <w:rFonts w:hint="eastAsia"/>
          <w:b/>
        </w:rPr>
        <w:t>得</w:t>
      </w:r>
      <w:r w:rsidRPr="00FF7FF8">
        <w:rPr>
          <w:rFonts w:hint="eastAsia"/>
          <w:b/>
        </w:rPr>
        <w:t>為緩起訴處分而獲邀排除刑罰或延遲</w:t>
      </w:r>
      <w:r w:rsidR="002479FC" w:rsidRPr="00FF7FF8">
        <w:rPr>
          <w:rFonts w:hint="eastAsia"/>
          <w:b/>
        </w:rPr>
        <w:t>刑罰</w:t>
      </w:r>
      <w:r w:rsidRPr="00FF7FF8">
        <w:rPr>
          <w:rFonts w:hint="eastAsia"/>
          <w:b/>
        </w:rPr>
        <w:t>進行之寬典，進而</w:t>
      </w:r>
      <w:r w:rsidR="00177B02" w:rsidRPr="00FF7FF8">
        <w:rPr>
          <w:rFonts w:hint="eastAsia"/>
          <w:b/>
        </w:rPr>
        <w:t>可能</w:t>
      </w:r>
      <w:r w:rsidRPr="00FF7FF8">
        <w:rPr>
          <w:rFonts w:hint="eastAsia"/>
          <w:b/>
        </w:rPr>
        <w:t>使檢察官忽略</w:t>
      </w:r>
      <w:r w:rsidR="0007718D" w:rsidRPr="00FF7FF8">
        <w:rPr>
          <w:rFonts w:hint="eastAsia"/>
          <w:b/>
        </w:rPr>
        <w:t>擬用</w:t>
      </w:r>
      <w:r w:rsidRPr="00FF7FF8">
        <w:rPr>
          <w:rFonts w:hint="eastAsia"/>
          <w:b/>
        </w:rPr>
        <w:t>緩起訴處分以外諸如觀察勒戒、緩刑附命完成戒癮治療或入監服刑等其他處遇機制</w:t>
      </w:r>
      <w:r w:rsidR="0007718D" w:rsidRPr="00FF7FF8">
        <w:rPr>
          <w:rFonts w:hint="eastAsia"/>
          <w:b/>
        </w:rPr>
        <w:t>。</w:t>
      </w:r>
      <w:r w:rsidR="00A65D42" w:rsidRPr="00FF7FF8">
        <w:rPr>
          <w:rFonts w:hint="eastAsia"/>
          <w:b/>
        </w:rPr>
        <w:t>另</w:t>
      </w:r>
      <w:r w:rsidR="00EB2457" w:rsidRPr="00FF7FF8">
        <w:rPr>
          <w:rFonts w:hint="eastAsia"/>
          <w:b/>
        </w:rPr>
        <w:t>有文獻指出，被告施用第一級毒品經附命完成戒癮治療之緩起訴處分之再犯率，高於其他處遇機制。此外，</w:t>
      </w:r>
      <w:r w:rsidRPr="00FF7FF8">
        <w:rPr>
          <w:rFonts w:hint="eastAsia"/>
          <w:b/>
        </w:rPr>
        <w:t>檢察官</w:t>
      </w:r>
      <w:r w:rsidR="009F42EE" w:rsidRPr="00FF7FF8">
        <w:rPr>
          <w:rFonts w:hint="eastAsia"/>
          <w:b/>
        </w:rPr>
        <w:t>就</w:t>
      </w:r>
      <w:r w:rsidRPr="00FF7FF8">
        <w:rPr>
          <w:rFonts w:hint="eastAsia"/>
          <w:b/>
        </w:rPr>
        <w:t>撤銷緩起訴</w:t>
      </w:r>
      <w:r w:rsidR="00541259" w:rsidRPr="00FF7FF8">
        <w:rPr>
          <w:rFonts w:hint="eastAsia"/>
          <w:b/>
        </w:rPr>
        <w:t>處分</w:t>
      </w:r>
      <w:r w:rsidRPr="00FF7FF8">
        <w:rPr>
          <w:rFonts w:hint="eastAsia"/>
          <w:b/>
        </w:rPr>
        <w:t>與否</w:t>
      </w:r>
      <w:r w:rsidR="00541259" w:rsidRPr="00FF7FF8">
        <w:rPr>
          <w:rFonts w:hint="eastAsia"/>
          <w:b/>
        </w:rPr>
        <w:t>，</w:t>
      </w:r>
      <w:r w:rsidR="002479FC" w:rsidRPr="00FF7FF8">
        <w:rPr>
          <w:rFonts w:hint="eastAsia"/>
          <w:b/>
        </w:rPr>
        <w:t>似</w:t>
      </w:r>
      <w:r w:rsidRPr="00FF7FF8">
        <w:rPr>
          <w:rFonts w:hint="eastAsia"/>
          <w:b/>
        </w:rPr>
        <w:t>未能</w:t>
      </w:r>
      <w:r w:rsidR="00541259" w:rsidRPr="00FF7FF8">
        <w:rPr>
          <w:rFonts w:hint="eastAsia"/>
          <w:b/>
        </w:rPr>
        <w:t>與觀護人或醫療機構討論</w:t>
      </w:r>
      <w:r w:rsidR="002479FC" w:rsidRPr="00FF7FF8">
        <w:rPr>
          <w:rFonts w:hint="eastAsia"/>
          <w:b/>
        </w:rPr>
        <w:t>後決定之</w:t>
      </w:r>
      <w:r w:rsidR="00541259" w:rsidRPr="00FF7FF8">
        <w:rPr>
          <w:rFonts w:hint="eastAsia"/>
          <w:b/>
        </w:rPr>
        <w:t>，</w:t>
      </w:r>
      <w:r w:rsidRPr="00FF7FF8">
        <w:rPr>
          <w:rFonts w:hint="eastAsia"/>
          <w:b/>
        </w:rPr>
        <w:t>評估</w:t>
      </w:r>
      <w:r w:rsidR="009F42EE" w:rsidRPr="00FF7FF8">
        <w:rPr>
          <w:rFonts w:hint="eastAsia"/>
          <w:b/>
        </w:rPr>
        <w:t>機制</w:t>
      </w:r>
      <w:r w:rsidR="002479FC" w:rsidRPr="00FF7FF8">
        <w:rPr>
          <w:rFonts w:hint="eastAsia"/>
          <w:b/>
        </w:rPr>
        <w:t>似</w:t>
      </w:r>
      <w:r w:rsidR="009F42EE" w:rsidRPr="00FF7FF8">
        <w:rPr>
          <w:rFonts w:hint="eastAsia"/>
          <w:b/>
        </w:rPr>
        <w:t>有欠嚴謹</w:t>
      </w:r>
      <w:r w:rsidRPr="00FF7FF8">
        <w:rPr>
          <w:rFonts w:hint="eastAsia"/>
          <w:b/>
        </w:rPr>
        <w:t>，故倘檢察官</w:t>
      </w:r>
      <w:r w:rsidR="009F42EE" w:rsidRPr="00FF7FF8">
        <w:rPr>
          <w:rFonts w:hint="eastAsia"/>
          <w:b/>
        </w:rPr>
        <w:t>採</w:t>
      </w:r>
      <w:r w:rsidRPr="00FF7FF8">
        <w:rPr>
          <w:rFonts w:hint="eastAsia"/>
          <w:b/>
        </w:rPr>
        <w:t>緩起訴處分與否</w:t>
      </w:r>
      <w:r w:rsidR="009F42EE" w:rsidRPr="00FF7FF8">
        <w:rPr>
          <w:rFonts w:hint="eastAsia"/>
          <w:b/>
        </w:rPr>
        <w:t>，專</w:t>
      </w:r>
      <w:r w:rsidRPr="00FF7FF8">
        <w:rPr>
          <w:rFonts w:hint="eastAsia"/>
          <w:b/>
        </w:rPr>
        <w:t>以</w:t>
      </w:r>
      <w:r w:rsidR="009F42EE" w:rsidRPr="00FF7FF8">
        <w:rPr>
          <w:rFonts w:hint="eastAsia"/>
          <w:b/>
        </w:rPr>
        <w:t>是否達成法務部政策</w:t>
      </w:r>
      <w:r w:rsidRPr="00FF7FF8">
        <w:rPr>
          <w:rFonts w:hint="eastAsia"/>
          <w:b/>
        </w:rPr>
        <w:t>績效為唯一考量，恐已違反緩起訴處分之制度目的，法務部實有檢討必要</w:t>
      </w:r>
      <w:r w:rsidR="00400EFA" w:rsidRPr="00FF7FF8">
        <w:rPr>
          <w:rFonts w:hint="eastAsia"/>
          <w:b/>
        </w:rPr>
        <w:t>。</w:t>
      </w:r>
    </w:p>
    <w:p w:rsidR="00BA4BE3" w:rsidRPr="00FF7FF8" w:rsidRDefault="00BA4BE3" w:rsidP="009F42EE">
      <w:pPr>
        <w:pStyle w:val="3"/>
      </w:pPr>
      <w:r w:rsidRPr="00FF7FF8">
        <w:rPr>
          <w:rFonts w:hint="eastAsia"/>
        </w:rPr>
        <w:t>關於緩起訴之制度目的，</w:t>
      </w:r>
      <w:r w:rsidR="009F42EE" w:rsidRPr="00FF7FF8">
        <w:rPr>
          <w:rFonts w:hint="eastAsia"/>
        </w:rPr>
        <w:t>106年7月21日</w:t>
      </w:r>
      <w:r w:rsidRPr="00FF7FF8">
        <w:rPr>
          <w:rFonts w:hint="eastAsia"/>
        </w:rPr>
        <w:t>司法院釋字第751號解釋理由書</w:t>
      </w:r>
      <w:r w:rsidR="008B4F6A" w:rsidRPr="00FF7FF8">
        <w:rPr>
          <w:rFonts w:hint="eastAsia"/>
        </w:rPr>
        <w:t>指</w:t>
      </w:r>
      <w:r w:rsidRPr="00FF7FF8">
        <w:rPr>
          <w:rFonts w:hint="eastAsia"/>
        </w:rPr>
        <w:t>出：「</w:t>
      </w:r>
      <w:r w:rsidRPr="00FF7FF8">
        <w:t>緩起訴處分之制度係為發揮篩檢案件之功能，以作為刑事訴訟制度採行當事人進行主義應有之配套措施，並基於填補被害人之損害、發揮個別預防功能、鼓勵被告自新及復歸社會等目的而設（立法院公報第91卷第10期第943頁及第948頁以下參照）。故緩起訴處分之本質，係法律授權檢察官為終結偵查所為之處分，其作用並非確認刑罰權之存在，反係終止刑罰權實現之程序性處理方式。就此而言，緩起訴處分既屬對被告不</w:t>
      </w:r>
      <w:r w:rsidRPr="00FF7FF8">
        <w:lastRenderedPageBreak/>
        <w:t>予追訴之決定，亦以聲請再議及交付審判程序作為告訴人之救濟手段（刑事訴訟法第256條第1項、第258條之1參照），故實係附條件之便宜不起訴處分。</w:t>
      </w:r>
      <w:r w:rsidRPr="00FF7FF8">
        <w:rPr>
          <w:rFonts w:hint="eastAsia"/>
        </w:rPr>
        <w:t>」等內容，顯見緩起訴處分制度設立，係為</w:t>
      </w:r>
      <w:r w:rsidRPr="00FF7FF8">
        <w:t>填補被害人之損害</w:t>
      </w:r>
      <w:r w:rsidRPr="00FF7FF8">
        <w:rPr>
          <w:rFonts w:hint="eastAsia"/>
        </w:rPr>
        <w:t>，並</w:t>
      </w:r>
      <w:r w:rsidRPr="00FF7FF8">
        <w:t>發揮個別預防功能</w:t>
      </w:r>
      <w:r w:rsidRPr="00FF7FF8">
        <w:rPr>
          <w:rFonts w:hint="eastAsia"/>
        </w:rPr>
        <w:t>，兼有</w:t>
      </w:r>
      <w:r w:rsidRPr="00FF7FF8">
        <w:t>鼓勵被告自新及復歸社會</w:t>
      </w:r>
      <w:r w:rsidR="009F42EE" w:rsidRPr="00FF7FF8">
        <w:rPr>
          <w:rFonts w:hint="eastAsia"/>
        </w:rPr>
        <w:t>之</w:t>
      </w:r>
      <w:r w:rsidRPr="00FF7FF8">
        <w:rPr>
          <w:rFonts w:hint="eastAsia"/>
        </w:rPr>
        <w:t>目的與功能。</w:t>
      </w:r>
    </w:p>
    <w:p w:rsidR="00BA4BE3" w:rsidRPr="00FF7FF8" w:rsidRDefault="00BA4BE3" w:rsidP="00BA4BE3">
      <w:pPr>
        <w:pStyle w:val="3"/>
        <w:numPr>
          <w:ilvl w:val="2"/>
          <w:numId w:val="1"/>
        </w:numPr>
      </w:pPr>
      <w:r w:rsidRPr="00FF7FF8">
        <w:rPr>
          <w:rFonts w:hint="eastAsia"/>
        </w:rPr>
        <w:t>依據毒品危害防制條例第10條規定：「（第1項）施用第一級毒品者，處6月以上5年以下有期徒刑。（第2項）施用第二級毒品者，處</w:t>
      </w:r>
      <w:r w:rsidR="00803EC8" w:rsidRPr="00FF7FF8">
        <w:rPr>
          <w:rFonts w:hint="eastAsia"/>
        </w:rPr>
        <w:t>3</w:t>
      </w:r>
      <w:r w:rsidRPr="00FF7FF8">
        <w:rPr>
          <w:rFonts w:hint="eastAsia"/>
        </w:rPr>
        <w:t>年以下有期徒刑。」行為人施用第一、二級毒品，本質仍屬於刑事犯罪。惟我國有關施用毒品之刑事政策，於87年將施用毒品之行為人認定為「病患性犯人」，並提供治療面向之轉向處遇機制，而不再以處刑監禁之刑罰處遇</w:t>
      </w:r>
      <w:r w:rsidR="008B4F6A" w:rsidRPr="00FF7FF8">
        <w:rPr>
          <w:rFonts w:hint="eastAsia"/>
        </w:rPr>
        <w:t>，</w:t>
      </w:r>
      <w:r w:rsidRPr="00FF7FF8">
        <w:rPr>
          <w:rFonts w:hint="eastAsia"/>
        </w:rPr>
        <w:t>作為矯正、制裁</w:t>
      </w:r>
      <w:r w:rsidR="008B4F6A" w:rsidRPr="00FF7FF8">
        <w:rPr>
          <w:rFonts w:hint="eastAsia"/>
        </w:rPr>
        <w:t>施用毒品</w:t>
      </w:r>
      <w:r w:rsidRPr="00FF7FF8">
        <w:rPr>
          <w:rFonts w:hint="eastAsia"/>
        </w:rPr>
        <w:t>行為人之手段。此種轉向處遇機制，包含觀察勒戒、強制戒治之保安處分，以及附命完成戒癮治療之緩起訴處分。</w:t>
      </w:r>
      <w:r w:rsidR="008B4F6A" w:rsidRPr="00FF7FF8">
        <w:rPr>
          <w:rFonts w:hint="eastAsia"/>
        </w:rPr>
        <w:t>又施用毒品之行為人，是典型自傷行為，行為人即被害人，為防止施用毒品行為人對整體社會造成危害，爰國家得對之為刑事制裁。以此而言，對於施用毒品行為人附命完成戒癮治療之緩起訴處分，</w:t>
      </w:r>
      <w:r w:rsidR="009F42EE" w:rsidRPr="00FF7FF8">
        <w:rPr>
          <w:rFonts w:hint="eastAsia"/>
        </w:rPr>
        <w:t>是在</w:t>
      </w:r>
      <w:r w:rsidR="008B4F6A" w:rsidRPr="00FF7FF8">
        <w:rPr>
          <w:rFonts w:hAnsi="標楷體" w:cs="Arial"/>
        </w:rPr>
        <w:t>發揮個別預防功能</w:t>
      </w:r>
      <w:r w:rsidR="008B4F6A" w:rsidRPr="00FF7FF8">
        <w:rPr>
          <w:rFonts w:hAnsi="標楷體" w:cs="Arial" w:hint="eastAsia"/>
        </w:rPr>
        <w:t>，兼</w:t>
      </w:r>
      <w:r w:rsidR="008B4F6A" w:rsidRPr="00FF7FF8">
        <w:rPr>
          <w:rFonts w:hAnsi="標楷體" w:cs="Arial"/>
        </w:rPr>
        <w:t>鼓勵被告自新及復歸社會</w:t>
      </w:r>
      <w:r w:rsidR="008B4F6A" w:rsidRPr="00FF7FF8">
        <w:rPr>
          <w:rFonts w:hAnsi="標楷體" w:cs="Arial" w:hint="eastAsia"/>
        </w:rPr>
        <w:t>，</w:t>
      </w:r>
      <w:r w:rsidR="009F42EE" w:rsidRPr="00FF7FF8">
        <w:rPr>
          <w:rFonts w:hAnsi="標楷體" w:cs="Arial" w:hint="eastAsia"/>
        </w:rPr>
        <w:t>此</w:t>
      </w:r>
      <w:r w:rsidR="008B4F6A" w:rsidRPr="00FF7FF8">
        <w:rPr>
          <w:rFonts w:hAnsi="標楷體" w:cs="Arial" w:hint="eastAsia"/>
        </w:rPr>
        <w:t>為緩起訴處分制度</w:t>
      </w:r>
      <w:r w:rsidR="009F42EE" w:rsidRPr="00FF7FF8">
        <w:rPr>
          <w:rFonts w:hAnsi="標楷體" w:cs="Arial" w:hint="eastAsia"/>
        </w:rPr>
        <w:t>之</w:t>
      </w:r>
      <w:r w:rsidR="008B4F6A" w:rsidRPr="00FF7FF8">
        <w:rPr>
          <w:rFonts w:hAnsi="標楷體" w:cs="Arial" w:hint="eastAsia"/>
        </w:rPr>
        <w:t>目的核心。</w:t>
      </w:r>
    </w:p>
    <w:p w:rsidR="00BA4BE3" w:rsidRPr="00FF7FF8" w:rsidRDefault="00BA4BE3" w:rsidP="00BA4BE3">
      <w:pPr>
        <w:pStyle w:val="3"/>
        <w:numPr>
          <w:ilvl w:val="2"/>
          <w:numId w:val="1"/>
        </w:numPr>
      </w:pPr>
      <w:r w:rsidRPr="00FF7FF8">
        <w:rPr>
          <w:rFonts w:hint="eastAsia"/>
        </w:rPr>
        <w:t>學者亦為文指出</w:t>
      </w:r>
      <w:r w:rsidRPr="00FF7FF8">
        <w:rPr>
          <w:rStyle w:val="afc"/>
          <w:rFonts w:hAnsi="標楷體" w:cs="Arial"/>
        </w:rPr>
        <w:footnoteReference w:id="1"/>
      </w:r>
      <w:r w:rsidRPr="00FF7FF8">
        <w:rPr>
          <w:rFonts w:hint="eastAsia"/>
        </w:rPr>
        <w:t>，對於進入刑事司法體系之毒品施用者，我國在以司法強制力協助戒癮治療之發展上</w:t>
      </w:r>
      <w:r w:rsidR="008F2396" w:rsidRPr="00FF7FF8">
        <w:rPr>
          <w:rFonts w:hint="eastAsia"/>
        </w:rPr>
        <w:t>，</w:t>
      </w:r>
      <w:r w:rsidRPr="00FF7FF8">
        <w:rPr>
          <w:rFonts w:hint="eastAsia"/>
        </w:rPr>
        <w:t>有2項重要的制度變革：</w:t>
      </w:r>
    </w:p>
    <w:p w:rsidR="00BA4BE3" w:rsidRPr="00FF7FF8" w:rsidRDefault="00BA4BE3" w:rsidP="00BA4BE3">
      <w:pPr>
        <w:pStyle w:val="4"/>
        <w:numPr>
          <w:ilvl w:val="3"/>
          <w:numId w:val="1"/>
        </w:numPr>
      </w:pPr>
      <w:r w:rsidRPr="00FF7FF8">
        <w:rPr>
          <w:rFonts w:hint="eastAsia"/>
        </w:rPr>
        <w:t>87年5月20</w:t>
      </w:r>
      <w:r w:rsidR="00D4643A" w:rsidRPr="00FF7FF8">
        <w:rPr>
          <w:rFonts w:hint="eastAsia"/>
        </w:rPr>
        <w:t>日公布施行</w:t>
      </w:r>
      <w:r w:rsidRPr="00FF7FF8">
        <w:rPr>
          <w:rFonts w:hint="eastAsia"/>
        </w:rPr>
        <w:t>之毒品危害防制條例視毒品施用成癮者為「病患性犯人」，將大量的第</w:t>
      </w:r>
      <w:r w:rsidR="00D4643A" w:rsidRPr="00FF7FF8">
        <w:rPr>
          <w:rFonts w:hint="eastAsia"/>
        </w:rPr>
        <w:t>一</w:t>
      </w:r>
      <w:r w:rsidRPr="00FF7FF8">
        <w:rPr>
          <w:rFonts w:hint="eastAsia"/>
        </w:rPr>
        <w:t>、</w:t>
      </w:r>
      <w:r w:rsidR="00D4643A" w:rsidRPr="00FF7FF8">
        <w:rPr>
          <w:rFonts w:hint="eastAsia"/>
        </w:rPr>
        <w:lastRenderedPageBreak/>
        <w:t>二</w:t>
      </w:r>
      <w:r w:rsidRPr="00FF7FF8">
        <w:rPr>
          <w:rFonts w:hint="eastAsia"/>
        </w:rPr>
        <w:t>級毒品施用者移送勒戒處所或戒治處所，施以觀察勒戒、強制戒治之保安處分，亦即對毒癮者提供制度化之「機構內戒癮治療」。</w:t>
      </w:r>
    </w:p>
    <w:p w:rsidR="006C6E6C" w:rsidRPr="00FF7FF8" w:rsidRDefault="00BA4BE3" w:rsidP="006C6E6C">
      <w:pPr>
        <w:pStyle w:val="4"/>
      </w:pPr>
      <w:r w:rsidRPr="00FF7FF8">
        <w:rPr>
          <w:rFonts w:hint="eastAsia"/>
        </w:rPr>
        <w:t>97年4月30日修正公布毒品危害防制條例第24條</w:t>
      </w:r>
      <w:r w:rsidR="00803EC8" w:rsidRPr="00FF7FF8">
        <w:rPr>
          <w:rFonts w:hint="eastAsia"/>
        </w:rPr>
        <w:t>規定</w:t>
      </w:r>
      <w:r w:rsidRPr="00FF7FF8">
        <w:rPr>
          <w:rFonts w:hint="eastAsia"/>
        </w:rPr>
        <w:t>：「本法第20條第1項及第23條第2項之程序，於檢察官先依刑事訴訟法第253條之1第1項、第253條之2之規定，為附命完成戒癮治療之緩起訴處分時，或於少年法院（地方法院少年法庭）認以依少年事件處理法程序處理為適當時，不適用之。」將檢察官對第一、二級毒品施用者裁定緩起訴處分附命完成戒治療之作法正式法制化，開始推行替代監禁之「社區內戒癮治療」。</w:t>
      </w:r>
    </w:p>
    <w:p w:rsidR="0007718D" w:rsidRPr="00FF7FF8" w:rsidRDefault="00557C5D" w:rsidP="0007718D">
      <w:pPr>
        <w:pStyle w:val="3"/>
      </w:pPr>
      <w:r w:rsidRPr="00FF7FF8">
        <w:rPr>
          <w:rFonts w:hint="eastAsia"/>
        </w:rPr>
        <w:t>98年至106年地方檢察署辦理</w:t>
      </w:r>
      <w:r w:rsidR="00975651" w:rsidRPr="00FF7FF8">
        <w:rPr>
          <w:rFonts w:hint="eastAsia"/>
        </w:rPr>
        <w:t>施用</w:t>
      </w:r>
      <w:r w:rsidRPr="00FF7FF8">
        <w:rPr>
          <w:rFonts w:hint="eastAsia"/>
        </w:rPr>
        <w:t>第一、二級毒品</w:t>
      </w:r>
      <w:r w:rsidR="00975651" w:rsidRPr="00FF7FF8">
        <w:rPr>
          <w:rFonts w:hint="eastAsia"/>
        </w:rPr>
        <w:t>案件，</w:t>
      </w:r>
      <w:r w:rsidR="00FF020F" w:rsidRPr="00FF7FF8">
        <w:rPr>
          <w:rFonts w:hint="eastAsia"/>
        </w:rPr>
        <w:t>緩起訴、撤銷緩起訴及戒癮治療之情形</w:t>
      </w:r>
      <w:r w:rsidR="0007718D" w:rsidRPr="00FF7FF8">
        <w:rPr>
          <w:rFonts w:hint="eastAsia"/>
        </w:rPr>
        <w:t>，如下表</w:t>
      </w:r>
      <w:r w:rsidR="00C30F1F" w:rsidRPr="00FF7FF8">
        <w:rPr>
          <w:rFonts w:hint="eastAsia"/>
        </w:rPr>
        <w:t>1</w:t>
      </w:r>
      <w:r w:rsidRPr="00FF7FF8">
        <w:rPr>
          <w:rFonts w:hint="eastAsia"/>
        </w:rPr>
        <w:t>、</w:t>
      </w:r>
      <w:r w:rsidR="00C30F1F" w:rsidRPr="00FF7FF8">
        <w:rPr>
          <w:rFonts w:hint="eastAsia"/>
        </w:rPr>
        <w:t>2</w:t>
      </w:r>
      <w:r w:rsidR="0007718D" w:rsidRPr="00FF7FF8">
        <w:rPr>
          <w:rFonts w:hint="eastAsia"/>
        </w:rPr>
        <w:t>所示：</w:t>
      </w:r>
    </w:p>
    <w:p w:rsidR="00557C5D" w:rsidRPr="00FF7FF8" w:rsidRDefault="00C30F1F" w:rsidP="003804A5">
      <w:pPr>
        <w:jc w:val="center"/>
        <w:rPr>
          <w:sz w:val="28"/>
        </w:rPr>
      </w:pPr>
      <w:r w:rsidRPr="00FF7FF8">
        <w:rPr>
          <w:rFonts w:hint="eastAsia"/>
          <w:sz w:val="28"/>
        </w:rPr>
        <w:t xml:space="preserve">表1 </w:t>
      </w:r>
      <w:bookmarkStart w:id="49" w:name="_Toc280712988"/>
      <w:bookmarkStart w:id="50" w:name="_Toc422732534"/>
      <w:r w:rsidRPr="00FF7FF8">
        <w:rPr>
          <w:rFonts w:hint="eastAsia"/>
          <w:sz w:val="28"/>
        </w:rPr>
        <w:t>【地方檢察署辦理偵查案件終結及撤銷緩起訴處分情形】</w:t>
      </w:r>
      <w:bookmarkEnd w:id="49"/>
      <w:bookmarkEnd w:id="50"/>
    </w:p>
    <w:p w:rsidR="00557C5D" w:rsidRPr="00FF7FF8" w:rsidRDefault="00557C5D" w:rsidP="00A80437">
      <w:pPr>
        <w:jc w:val="center"/>
      </w:pPr>
      <w:r w:rsidRPr="00FF7FF8">
        <w:rPr>
          <w:noProof/>
        </w:rPr>
        <w:drawing>
          <wp:inline distT="0" distB="0" distL="0" distR="0" wp14:anchorId="4F9E1DBA" wp14:editId="7FE75630">
            <wp:extent cx="5486400" cy="383667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836670"/>
                    </a:xfrm>
                    <a:prstGeom prst="rect">
                      <a:avLst/>
                    </a:prstGeom>
                  </pic:spPr>
                </pic:pic>
              </a:graphicData>
            </a:graphic>
          </wp:inline>
        </w:drawing>
      </w:r>
    </w:p>
    <w:p w:rsidR="00557C5D" w:rsidRPr="00FF7FF8" w:rsidRDefault="00C30F1F" w:rsidP="003804A5">
      <w:pPr>
        <w:jc w:val="center"/>
        <w:rPr>
          <w:sz w:val="28"/>
          <w:szCs w:val="28"/>
        </w:rPr>
      </w:pPr>
      <w:r w:rsidRPr="00FF7FF8">
        <w:rPr>
          <w:rFonts w:hint="eastAsia"/>
          <w:sz w:val="28"/>
          <w:szCs w:val="28"/>
        </w:rPr>
        <w:lastRenderedPageBreak/>
        <w:t>表2 【地方檢察署辦理第一、二級毒品戒癮治療情形】</w:t>
      </w:r>
    </w:p>
    <w:p w:rsidR="00557C5D" w:rsidRPr="00FF7FF8" w:rsidRDefault="00557C5D" w:rsidP="00A80437">
      <w:pPr>
        <w:jc w:val="center"/>
      </w:pPr>
      <w:r w:rsidRPr="00FF7FF8">
        <w:rPr>
          <w:noProof/>
        </w:rPr>
        <w:drawing>
          <wp:inline distT="0" distB="0" distL="0" distR="0" wp14:anchorId="68E265AC" wp14:editId="50636999">
            <wp:extent cx="5486400" cy="32766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76600"/>
                    </a:xfrm>
                    <a:prstGeom prst="rect">
                      <a:avLst/>
                    </a:prstGeom>
                  </pic:spPr>
                </pic:pic>
              </a:graphicData>
            </a:graphic>
          </wp:inline>
        </w:drawing>
      </w:r>
    </w:p>
    <w:p w:rsidR="00BA4BE3" w:rsidRPr="00FF7FF8" w:rsidRDefault="00BA4BE3" w:rsidP="00082711">
      <w:pPr>
        <w:pStyle w:val="3"/>
        <w:numPr>
          <w:ilvl w:val="2"/>
          <w:numId w:val="1"/>
        </w:numPr>
      </w:pPr>
      <w:r w:rsidRPr="00FF7FF8">
        <w:rPr>
          <w:rFonts w:hint="eastAsia"/>
        </w:rPr>
        <w:t>法務部近年有關施用第一、二級毒品之刑事政策，於彙整各部會資料後，擬定「新世代反毒策略」及「新世代反毒策略行動綱領」，分別於106年5月11日經行政院院會通過、7月21日經行政院核定，該策略及行動綱領中要求逐步提升附命完成戒癮治療</w:t>
      </w:r>
      <w:r w:rsidR="001A157E" w:rsidRPr="00FF7FF8">
        <w:rPr>
          <w:rFonts w:hint="eastAsia"/>
        </w:rPr>
        <w:t>之</w:t>
      </w:r>
      <w:r w:rsidRPr="00FF7FF8">
        <w:rPr>
          <w:rFonts w:hint="eastAsia"/>
        </w:rPr>
        <w:t>緩起訴處分比率，從105年之11%，106年提升至15%</w:t>
      </w:r>
      <w:r w:rsidRPr="00FF7FF8">
        <w:rPr>
          <w:rStyle w:val="afc"/>
        </w:rPr>
        <w:footnoteReference w:id="2"/>
      </w:r>
      <w:r w:rsidRPr="00FF7FF8">
        <w:rPr>
          <w:rFonts w:hint="eastAsia"/>
        </w:rPr>
        <w:t>，並於4年內提升至20%。</w:t>
      </w:r>
      <w:r w:rsidR="004D180E" w:rsidRPr="00FF7FF8">
        <w:rPr>
          <w:rFonts w:hint="eastAsia"/>
        </w:rPr>
        <w:t>另根據法務部查復資料顯示</w:t>
      </w:r>
      <w:r w:rsidR="00917B5C" w:rsidRPr="00FF7FF8">
        <w:rPr>
          <w:rStyle w:val="afc"/>
        </w:rPr>
        <w:footnoteReference w:id="3"/>
      </w:r>
      <w:r w:rsidR="0007718D" w:rsidRPr="00FF7FF8">
        <w:rPr>
          <w:rFonts w:hint="eastAsia"/>
        </w:rPr>
        <w:t>(如表</w:t>
      </w:r>
      <w:r w:rsidR="00C30F1F" w:rsidRPr="00FF7FF8">
        <w:rPr>
          <w:rFonts w:hint="eastAsia"/>
        </w:rPr>
        <w:t>3</w:t>
      </w:r>
      <w:r w:rsidR="0007718D" w:rsidRPr="00FF7FF8">
        <w:rPr>
          <w:rFonts w:hint="eastAsia"/>
        </w:rPr>
        <w:t>)</w:t>
      </w:r>
      <w:r w:rsidR="004D180E" w:rsidRPr="00FF7FF8">
        <w:rPr>
          <w:rFonts w:hint="eastAsia"/>
        </w:rPr>
        <w:t>，106年及107年1至6月之附命完成戒癮治療之緩起訴處分人數及比率</w:t>
      </w:r>
      <w:r w:rsidR="00917B5C" w:rsidRPr="00FF7FF8">
        <w:rPr>
          <w:rFonts w:hint="eastAsia"/>
        </w:rPr>
        <w:t>，可知</w:t>
      </w:r>
      <w:r w:rsidR="00883C7B" w:rsidRPr="00FF7FF8">
        <w:rPr>
          <w:rFonts w:hint="eastAsia"/>
        </w:rPr>
        <w:t>106年之比率</w:t>
      </w:r>
      <w:r w:rsidR="00917B5C" w:rsidRPr="00FF7FF8">
        <w:rPr>
          <w:rFonts w:hint="eastAsia"/>
        </w:rPr>
        <w:t>符合</w:t>
      </w:r>
      <w:r w:rsidR="00883C7B" w:rsidRPr="00FF7FF8">
        <w:rPr>
          <w:rFonts w:hint="eastAsia"/>
        </w:rPr>
        <w:t>該策略及行動綱領中要求，至於107年</w:t>
      </w:r>
      <w:r w:rsidR="0063181A" w:rsidRPr="00FF7FF8">
        <w:rPr>
          <w:rFonts w:hint="eastAsia"/>
        </w:rPr>
        <w:t>1至6月</w:t>
      </w:r>
      <w:r w:rsidR="00883C7B" w:rsidRPr="00FF7FF8">
        <w:rPr>
          <w:rFonts w:hint="eastAsia"/>
        </w:rPr>
        <w:t>比率</w:t>
      </w:r>
      <w:r w:rsidR="0063181A" w:rsidRPr="00FF7FF8">
        <w:rPr>
          <w:rFonts w:hint="eastAsia"/>
        </w:rPr>
        <w:t>，雖未顯著提升</w:t>
      </w:r>
      <w:r w:rsidR="00883C7B" w:rsidRPr="00FF7FF8">
        <w:rPr>
          <w:rFonts w:hint="eastAsia"/>
        </w:rPr>
        <w:t>，依法務部說明，</w:t>
      </w:r>
      <w:r w:rsidR="0063181A" w:rsidRPr="00FF7FF8">
        <w:rPr>
          <w:rFonts w:hint="eastAsia"/>
        </w:rPr>
        <w:t>因</w:t>
      </w:r>
      <w:r w:rsidR="00883C7B" w:rsidRPr="00FF7FF8">
        <w:rPr>
          <w:rFonts w:hint="eastAsia"/>
        </w:rPr>
        <w:t>該策略及行動綱領並無單就107年訂定</w:t>
      </w:r>
      <w:r w:rsidR="008D7603" w:rsidRPr="00FF7FF8">
        <w:rPr>
          <w:rFonts w:hint="eastAsia"/>
        </w:rPr>
        <w:t>應達成之</w:t>
      </w:r>
      <w:r w:rsidR="00883C7B" w:rsidRPr="00FF7FF8">
        <w:rPr>
          <w:rFonts w:hint="eastAsia"/>
        </w:rPr>
        <w:t>比率</w:t>
      </w:r>
      <w:r w:rsidR="00917B5C" w:rsidRPr="00FF7FF8">
        <w:rPr>
          <w:rFonts w:hint="eastAsia"/>
        </w:rPr>
        <w:t>。</w:t>
      </w:r>
      <w:r w:rsidR="00883C7B" w:rsidRPr="00FF7FF8">
        <w:rPr>
          <w:rFonts w:hint="eastAsia"/>
        </w:rPr>
        <w:t>地方檢察署毒品施用者戒癮治療</w:t>
      </w:r>
      <w:r w:rsidR="0063181A" w:rsidRPr="00FF7FF8">
        <w:rPr>
          <w:rFonts w:hint="eastAsia"/>
        </w:rPr>
        <w:t>之</w:t>
      </w:r>
      <w:r w:rsidR="00883C7B" w:rsidRPr="00FF7FF8">
        <w:rPr>
          <w:rFonts w:hint="eastAsia"/>
        </w:rPr>
        <w:t>統</w:t>
      </w:r>
      <w:r w:rsidR="0063181A" w:rsidRPr="00FF7FF8">
        <w:rPr>
          <w:rFonts w:hint="eastAsia"/>
        </w:rPr>
        <w:t>計數據</w:t>
      </w:r>
      <w:r w:rsidR="00883C7B" w:rsidRPr="00FF7FF8">
        <w:rPr>
          <w:rFonts w:hint="eastAsia"/>
        </w:rPr>
        <w:t>，</w:t>
      </w:r>
      <w:r w:rsidR="004D180E" w:rsidRPr="00FF7FF8">
        <w:rPr>
          <w:rFonts w:hint="eastAsia"/>
        </w:rPr>
        <w:t>如下表</w:t>
      </w:r>
      <w:r w:rsidR="00C30F1F" w:rsidRPr="00FF7FF8">
        <w:rPr>
          <w:rFonts w:hint="eastAsia"/>
        </w:rPr>
        <w:t>3</w:t>
      </w:r>
      <w:r w:rsidR="004D180E" w:rsidRPr="00FF7FF8">
        <w:rPr>
          <w:rFonts w:hint="eastAsia"/>
        </w:rPr>
        <w:t>所示：</w:t>
      </w:r>
    </w:p>
    <w:p w:rsidR="00917B5C" w:rsidRPr="00FF7FF8" w:rsidRDefault="00C30F1F" w:rsidP="003804A5">
      <w:pPr>
        <w:jc w:val="center"/>
        <w:rPr>
          <w:sz w:val="28"/>
        </w:rPr>
      </w:pPr>
      <w:r w:rsidRPr="00FF7FF8">
        <w:rPr>
          <w:rFonts w:hint="eastAsia"/>
          <w:sz w:val="28"/>
        </w:rPr>
        <w:lastRenderedPageBreak/>
        <w:t>表3 【</w:t>
      </w:r>
      <w:r w:rsidRPr="00FF7FF8">
        <w:rPr>
          <w:sz w:val="28"/>
        </w:rPr>
        <w:t>地方檢察署毒品施用者戒癮治療統計</w:t>
      </w:r>
      <w:r w:rsidRPr="00FF7FF8">
        <w:rPr>
          <w:rFonts w:hint="eastAsia"/>
          <w:sz w:val="28"/>
        </w:rPr>
        <w:t>（人次）】</w:t>
      </w:r>
    </w:p>
    <w:tbl>
      <w:tblPr>
        <w:tblStyle w:val="af6"/>
        <w:tblW w:w="5175" w:type="pct"/>
        <w:tblInd w:w="-318" w:type="dxa"/>
        <w:tblLayout w:type="fixed"/>
        <w:tblLook w:val="04A0" w:firstRow="1" w:lastRow="0" w:firstColumn="1" w:lastColumn="0" w:noHBand="0" w:noVBand="1"/>
      </w:tblPr>
      <w:tblGrid>
        <w:gridCol w:w="864"/>
        <w:gridCol w:w="984"/>
        <w:gridCol w:w="984"/>
        <w:gridCol w:w="985"/>
        <w:gridCol w:w="718"/>
        <w:gridCol w:w="587"/>
        <w:gridCol w:w="985"/>
        <w:gridCol w:w="985"/>
        <w:gridCol w:w="985"/>
        <w:gridCol w:w="713"/>
        <w:gridCol w:w="587"/>
      </w:tblGrid>
      <w:tr w:rsidR="00FF7FF8" w:rsidRPr="00FF7FF8" w:rsidTr="00FD636F">
        <w:trPr>
          <w:trHeight w:val="20"/>
        </w:trPr>
        <w:tc>
          <w:tcPr>
            <w:tcW w:w="461" w:type="pct"/>
            <w:vMerge w:val="restart"/>
          </w:tcPr>
          <w:p w:rsidR="00025213" w:rsidRPr="00FF7FF8" w:rsidRDefault="00025213" w:rsidP="004D180E">
            <w:pPr>
              <w:rPr>
                <w:sz w:val="20"/>
              </w:rPr>
            </w:pPr>
            <w:r w:rsidRPr="00FF7FF8">
              <w:rPr>
                <w:rFonts w:hint="eastAsia"/>
                <w:sz w:val="22"/>
              </w:rPr>
              <w:t>項目別</w:t>
            </w:r>
          </w:p>
        </w:tc>
        <w:tc>
          <w:tcPr>
            <w:tcW w:w="2271" w:type="pct"/>
            <w:gridSpan w:val="5"/>
          </w:tcPr>
          <w:p w:rsidR="00025213" w:rsidRPr="00FF7FF8" w:rsidRDefault="00025213" w:rsidP="004D180E">
            <w:pPr>
              <w:rPr>
                <w:sz w:val="22"/>
              </w:rPr>
            </w:pPr>
            <w:r w:rsidRPr="00FF7FF8">
              <w:rPr>
                <w:rFonts w:hint="eastAsia"/>
                <w:sz w:val="22"/>
              </w:rPr>
              <w:t>第一級毒品</w:t>
            </w:r>
          </w:p>
        </w:tc>
        <w:tc>
          <w:tcPr>
            <w:tcW w:w="2268" w:type="pct"/>
            <w:gridSpan w:val="5"/>
          </w:tcPr>
          <w:p w:rsidR="00025213" w:rsidRPr="00FF7FF8" w:rsidRDefault="00025213" w:rsidP="00025213">
            <w:pPr>
              <w:rPr>
                <w:sz w:val="22"/>
              </w:rPr>
            </w:pPr>
            <w:r w:rsidRPr="00FF7FF8">
              <w:rPr>
                <w:rFonts w:hint="eastAsia"/>
                <w:sz w:val="22"/>
              </w:rPr>
              <w:t>第二級毒品</w:t>
            </w:r>
          </w:p>
        </w:tc>
      </w:tr>
      <w:tr w:rsidR="00FF7FF8" w:rsidRPr="00FF7FF8" w:rsidTr="00FD636F">
        <w:trPr>
          <w:trHeight w:val="20"/>
        </w:trPr>
        <w:tc>
          <w:tcPr>
            <w:tcW w:w="461" w:type="pct"/>
            <w:vMerge/>
          </w:tcPr>
          <w:p w:rsidR="00025213" w:rsidRPr="00FF7FF8" w:rsidRDefault="00025213" w:rsidP="004D180E">
            <w:pPr>
              <w:rPr>
                <w:sz w:val="20"/>
              </w:rPr>
            </w:pPr>
          </w:p>
        </w:tc>
        <w:tc>
          <w:tcPr>
            <w:tcW w:w="525" w:type="pct"/>
            <w:vMerge w:val="restart"/>
          </w:tcPr>
          <w:p w:rsidR="00025213" w:rsidRPr="00FF7FF8" w:rsidRDefault="00025213" w:rsidP="004D180E">
            <w:pPr>
              <w:rPr>
                <w:sz w:val="20"/>
              </w:rPr>
            </w:pPr>
            <w:r w:rsidRPr="00FF7FF8">
              <w:rPr>
                <w:rFonts w:hint="eastAsia"/>
                <w:sz w:val="20"/>
              </w:rPr>
              <w:t>起訴及緩起訴處分人數</w:t>
            </w:r>
          </w:p>
          <w:p w:rsidR="00025213" w:rsidRPr="00FF7FF8" w:rsidRDefault="00025213" w:rsidP="004D180E">
            <w:pPr>
              <w:rPr>
                <w:sz w:val="20"/>
              </w:rPr>
            </w:pPr>
            <w:r w:rsidRPr="00FF7FF8">
              <w:rPr>
                <w:rFonts w:hint="eastAsia"/>
                <w:sz w:val="20"/>
              </w:rPr>
              <w:t>a</w:t>
            </w:r>
          </w:p>
        </w:tc>
        <w:tc>
          <w:tcPr>
            <w:tcW w:w="525" w:type="pct"/>
            <w:vMerge w:val="restart"/>
          </w:tcPr>
          <w:p w:rsidR="00025213" w:rsidRPr="00FF7FF8" w:rsidRDefault="00025213" w:rsidP="004D180E">
            <w:pPr>
              <w:rPr>
                <w:sz w:val="20"/>
              </w:rPr>
            </w:pPr>
            <w:r w:rsidRPr="00FF7FF8">
              <w:rPr>
                <w:rFonts w:hint="eastAsia"/>
                <w:sz w:val="20"/>
              </w:rPr>
              <w:t>緩起訴處分人數</w:t>
            </w:r>
          </w:p>
        </w:tc>
        <w:tc>
          <w:tcPr>
            <w:tcW w:w="525" w:type="pct"/>
            <w:vMerge w:val="restart"/>
          </w:tcPr>
          <w:p w:rsidR="00025213" w:rsidRPr="00FF7FF8" w:rsidRDefault="00025213" w:rsidP="00DD5903">
            <w:pPr>
              <w:overflowPunct/>
              <w:adjustRightInd w:val="0"/>
              <w:snapToGrid w:val="0"/>
              <w:jc w:val="left"/>
              <w:rPr>
                <w:rFonts w:eastAsia="Times New Roman" w:hAnsi="標楷體" w:cs="標楷體"/>
                <w:kern w:val="0"/>
                <w:sz w:val="20"/>
                <w:lang w:val="x-none"/>
              </w:rPr>
            </w:pPr>
            <w:r w:rsidRPr="00FF7FF8">
              <w:rPr>
                <w:rFonts w:eastAsia="Times New Roman" w:hAnsi="標楷體" w:cs="標楷體"/>
                <w:kern w:val="0"/>
                <w:sz w:val="20"/>
                <w:lang w:val="x-none"/>
              </w:rPr>
              <w:t>附命完成戒癮治療人數</w:t>
            </w:r>
          </w:p>
          <w:p w:rsidR="00025213" w:rsidRPr="00FF7FF8" w:rsidRDefault="00025213" w:rsidP="004D180E">
            <w:pPr>
              <w:adjustRightInd w:val="0"/>
              <w:snapToGrid w:val="0"/>
              <w:jc w:val="left"/>
              <w:rPr>
                <w:sz w:val="20"/>
              </w:rPr>
            </w:pPr>
            <w:r w:rsidRPr="00FF7FF8">
              <w:rPr>
                <w:rFonts w:hint="eastAsia"/>
                <w:sz w:val="20"/>
              </w:rPr>
              <w:t>b</w:t>
            </w:r>
          </w:p>
        </w:tc>
        <w:tc>
          <w:tcPr>
            <w:tcW w:w="696" w:type="pct"/>
            <w:gridSpan w:val="2"/>
          </w:tcPr>
          <w:p w:rsidR="00025213" w:rsidRPr="00FF7FF8" w:rsidRDefault="00025213" w:rsidP="00DD5903">
            <w:pPr>
              <w:overflowPunct/>
              <w:adjustRightInd w:val="0"/>
              <w:snapToGrid w:val="0"/>
              <w:jc w:val="left"/>
              <w:rPr>
                <w:sz w:val="20"/>
              </w:rPr>
            </w:pPr>
          </w:p>
        </w:tc>
        <w:tc>
          <w:tcPr>
            <w:tcW w:w="525" w:type="pct"/>
            <w:vMerge w:val="restart"/>
          </w:tcPr>
          <w:p w:rsidR="00025213" w:rsidRPr="00FF7FF8" w:rsidRDefault="00025213" w:rsidP="005041DA">
            <w:pPr>
              <w:rPr>
                <w:sz w:val="20"/>
              </w:rPr>
            </w:pPr>
            <w:r w:rsidRPr="00FF7FF8">
              <w:rPr>
                <w:rFonts w:hint="eastAsia"/>
                <w:sz w:val="20"/>
              </w:rPr>
              <w:t>起訴及緩起訴處分人數</w:t>
            </w:r>
          </w:p>
          <w:p w:rsidR="00025213" w:rsidRPr="00FF7FF8" w:rsidRDefault="00025213" w:rsidP="005041DA">
            <w:pPr>
              <w:rPr>
                <w:sz w:val="20"/>
              </w:rPr>
            </w:pPr>
            <w:r w:rsidRPr="00FF7FF8">
              <w:rPr>
                <w:rFonts w:hint="eastAsia"/>
                <w:sz w:val="20"/>
              </w:rPr>
              <w:t>a</w:t>
            </w:r>
          </w:p>
        </w:tc>
        <w:tc>
          <w:tcPr>
            <w:tcW w:w="525" w:type="pct"/>
            <w:vMerge w:val="restart"/>
          </w:tcPr>
          <w:p w:rsidR="00025213" w:rsidRPr="00FF7FF8" w:rsidRDefault="00025213" w:rsidP="005041DA">
            <w:pPr>
              <w:rPr>
                <w:sz w:val="20"/>
              </w:rPr>
            </w:pPr>
            <w:r w:rsidRPr="00FF7FF8">
              <w:rPr>
                <w:rFonts w:hint="eastAsia"/>
                <w:sz w:val="20"/>
              </w:rPr>
              <w:t>緩起訴處分人數</w:t>
            </w:r>
          </w:p>
        </w:tc>
        <w:tc>
          <w:tcPr>
            <w:tcW w:w="525" w:type="pct"/>
            <w:vMerge w:val="restart"/>
          </w:tcPr>
          <w:p w:rsidR="00025213" w:rsidRPr="00FF7FF8" w:rsidRDefault="00025213" w:rsidP="00025213">
            <w:pPr>
              <w:overflowPunct/>
              <w:adjustRightInd w:val="0"/>
              <w:snapToGrid w:val="0"/>
              <w:jc w:val="left"/>
              <w:rPr>
                <w:rFonts w:eastAsia="Times New Roman" w:hAnsi="標楷體" w:cs="標楷體"/>
                <w:kern w:val="0"/>
                <w:sz w:val="20"/>
                <w:lang w:val="x-none"/>
              </w:rPr>
            </w:pPr>
            <w:r w:rsidRPr="00FF7FF8">
              <w:rPr>
                <w:rFonts w:eastAsia="Times New Roman" w:hAnsi="標楷體" w:cs="標楷體"/>
                <w:kern w:val="0"/>
                <w:sz w:val="20"/>
                <w:lang w:val="x-none"/>
              </w:rPr>
              <w:t>附命完成戒癮治療人數</w:t>
            </w:r>
          </w:p>
          <w:p w:rsidR="00025213" w:rsidRPr="00FF7FF8" w:rsidRDefault="00FD36FC" w:rsidP="00025213">
            <w:pPr>
              <w:adjustRightInd w:val="0"/>
              <w:snapToGrid w:val="0"/>
              <w:jc w:val="left"/>
              <w:rPr>
                <w:sz w:val="20"/>
              </w:rPr>
            </w:pPr>
            <w:r w:rsidRPr="00FF7FF8">
              <w:rPr>
                <w:rFonts w:hint="eastAsia"/>
                <w:sz w:val="20"/>
              </w:rPr>
              <w:t>b</w:t>
            </w:r>
            <w:r w:rsidR="00025213" w:rsidRPr="00FF7FF8">
              <w:rPr>
                <w:sz w:val="20"/>
              </w:rPr>
              <w:t xml:space="preserve"> </w:t>
            </w:r>
          </w:p>
        </w:tc>
        <w:tc>
          <w:tcPr>
            <w:tcW w:w="693" w:type="pct"/>
            <w:gridSpan w:val="2"/>
          </w:tcPr>
          <w:p w:rsidR="00025213" w:rsidRPr="00FF7FF8" w:rsidRDefault="00025213" w:rsidP="005041DA">
            <w:pPr>
              <w:rPr>
                <w:sz w:val="20"/>
              </w:rPr>
            </w:pPr>
          </w:p>
        </w:tc>
      </w:tr>
      <w:tr w:rsidR="00FF7FF8" w:rsidRPr="00FF7FF8" w:rsidTr="00FD636F">
        <w:trPr>
          <w:trHeight w:val="20"/>
        </w:trPr>
        <w:tc>
          <w:tcPr>
            <w:tcW w:w="461" w:type="pct"/>
            <w:vMerge/>
          </w:tcPr>
          <w:p w:rsidR="00025213" w:rsidRPr="00FF7FF8" w:rsidRDefault="00025213" w:rsidP="004D180E">
            <w:pPr>
              <w:rPr>
                <w:sz w:val="20"/>
              </w:rPr>
            </w:pPr>
          </w:p>
        </w:tc>
        <w:tc>
          <w:tcPr>
            <w:tcW w:w="525" w:type="pct"/>
            <w:vMerge/>
          </w:tcPr>
          <w:p w:rsidR="00025213" w:rsidRPr="00FF7FF8" w:rsidRDefault="00025213" w:rsidP="004D180E">
            <w:pPr>
              <w:rPr>
                <w:sz w:val="20"/>
              </w:rPr>
            </w:pPr>
          </w:p>
        </w:tc>
        <w:tc>
          <w:tcPr>
            <w:tcW w:w="525" w:type="pct"/>
            <w:vMerge/>
          </w:tcPr>
          <w:p w:rsidR="00025213" w:rsidRPr="00FF7FF8" w:rsidRDefault="00025213" w:rsidP="004D180E">
            <w:pPr>
              <w:rPr>
                <w:sz w:val="20"/>
              </w:rPr>
            </w:pPr>
          </w:p>
        </w:tc>
        <w:tc>
          <w:tcPr>
            <w:tcW w:w="525" w:type="pct"/>
            <w:vMerge/>
          </w:tcPr>
          <w:p w:rsidR="00025213" w:rsidRPr="00FF7FF8" w:rsidRDefault="00025213" w:rsidP="004D180E">
            <w:pPr>
              <w:overflowPunct/>
              <w:adjustRightInd w:val="0"/>
              <w:snapToGrid w:val="0"/>
              <w:jc w:val="left"/>
              <w:rPr>
                <w:rFonts w:eastAsia="Times New Roman" w:hAnsi="標楷體" w:cs="標楷體"/>
                <w:kern w:val="0"/>
                <w:sz w:val="20"/>
                <w:lang w:val="x-none"/>
              </w:rPr>
            </w:pPr>
          </w:p>
        </w:tc>
        <w:tc>
          <w:tcPr>
            <w:tcW w:w="383" w:type="pct"/>
          </w:tcPr>
          <w:p w:rsidR="00025213" w:rsidRPr="00FF7FF8" w:rsidRDefault="00025213" w:rsidP="005041DA">
            <w:pPr>
              <w:rPr>
                <w:sz w:val="20"/>
              </w:rPr>
            </w:pPr>
            <w:r w:rsidRPr="00FF7FF8">
              <w:rPr>
                <w:rFonts w:hint="eastAsia"/>
                <w:sz w:val="20"/>
              </w:rPr>
              <w:t>比率</w:t>
            </w:r>
          </w:p>
          <w:p w:rsidR="00025213" w:rsidRPr="00FF7FF8" w:rsidRDefault="00025213" w:rsidP="005041DA">
            <w:pPr>
              <w:rPr>
                <w:sz w:val="20"/>
              </w:rPr>
            </w:pPr>
          </w:p>
          <w:p w:rsidR="00025213" w:rsidRPr="00FF7FF8" w:rsidRDefault="00025213" w:rsidP="005041DA">
            <w:pPr>
              <w:rPr>
                <w:sz w:val="20"/>
              </w:rPr>
            </w:pPr>
          </w:p>
          <w:p w:rsidR="00025213" w:rsidRPr="00FF7FF8" w:rsidRDefault="00025213" w:rsidP="005041DA">
            <w:pPr>
              <w:rPr>
                <w:sz w:val="20"/>
              </w:rPr>
            </w:pPr>
            <w:r w:rsidRPr="00FF7FF8">
              <w:rPr>
                <w:rFonts w:hint="eastAsia"/>
                <w:sz w:val="20"/>
              </w:rPr>
              <w:t>b/a*100</w:t>
            </w:r>
          </w:p>
        </w:tc>
        <w:tc>
          <w:tcPr>
            <w:tcW w:w="313" w:type="pct"/>
          </w:tcPr>
          <w:p w:rsidR="00025213" w:rsidRPr="00FF7FF8" w:rsidRDefault="00025213" w:rsidP="005041DA">
            <w:pPr>
              <w:rPr>
                <w:sz w:val="20"/>
              </w:rPr>
            </w:pPr>
            <w:r w:rsidRPr="00FF7FF8">
              <w:rPr>
                <w:rFonts w:hint="eastAsia"/>
                <w:sz w:val="20"/>
              </w:rPr>
              <w:t>較上年增減</w:t>
            </w:r>
          </w:p>
        </w:tc>
        <w:tc>
          <w:tcPr>
            <w:tcW w:w="525" w:type="pct"/>
            <w:vMerge/>
          </w:tcPr>
          <w:p w:rsidR="00025213" w:rsidRPr="00FF7FF8" w:rsidRDefault="00025213" w:rsidP="005041DA">
            <w:pPr>
              <w:rPr>
                <w:sz w:val="20"/>
              </w:rPr>
            </w:pPr>
          </w:p>
        </w:tc>
        <w:tc>
          <w:tcPr>
            <w:tcW w:w="525" w:type="pct"/>
            <w:vMerge/>
          </w:tcPr>
          <w:p w:rsidR="00025213" w:rsidRPr="00FF7FF8" w:rsidRDefault="00025213" w:rsidP="005041DA">
            <w:pPr>
              <w:rPr>
                <w:sz w:val="20"/>
              </w:rPr>
            </w:pPr>
          </w:p>
        </w:tc>
        <w:tc>
          <w:tcPr>
            <w:tcW w:w="525" w:type="pct"/>
            <w:vMerge/>
          </w:tcPr>
          <w:p w:rsidR="00025213" w:rsidRPr="00FF7FF8" w:rsidRDefault="00025213" w:rsidP="005041DA">
            <w:pPr>
              <w:overflowPunct/>
              <w:adjustRightInd w:val="0"/>
              <w:snapToGrid w:val="0"/>
              <w:jc w:val="left"/>
              <w:rPr>
                <w:rFonts w:eastAsia="Times New Roman" w:hAnsi="標楷體" w:cs="標楷體"/>
                <w:kern w:val="0"/>
                <w:sz w:val="20"/>
                <w:lang w:val="x-none"/>
              </w:rPr>
            </w:pPr>
          </w:p>
        </w:tc>
        <w:tc>
          <w:tcPr>
            <w:tcW w:w="380" w:type="pct"/>
          </w:tcPr>
          <w:p w:rsidR="00025213" w:rsidRPr="00FF7FF8" w:rsidRDefault="00025213" w:rsidP="005041DA">
            <w:pPr>
              <w:rPr>
                <w:sz w:val="20"/>
              </w:rPr>
            </w:pPr>
            <w:r w:rsidRPr="00FF7FF8">
              <w:rPr>
                <w:rFonts w:hint="eastAsia"/>
                <w:sz w:val="20"/>
              </w:rPr>
              <w:t>比率</w:t>
            </w:r>
          </w:p>
          <w:p w:rsidR="00025213" w:rsidRPr="00FF7FF8" w:rsidRDefault="00025213" w:rsidP="005041DA">
            <w:pPr>
              <w:rPr>
                <w:sz w:val="20"/>
              </w:rPr>
            </w:pPr>
          </w:p>
          <w:p w:rsidR="00025213" w:rsidRPr="00FF7FF8" w:rsidRDefault="00025213" w:rsidP="005041DA">
            <w:pPr>
              <w:rPr>
                <w:sz w:val="20"/>
              </w:rPr>
            </w:pPr>
            <w:r w:rsidRPr="00FF7FF8">
              <w:rPr>
                <w:rFonts w:hint="eastAsia"/>
                <w:sz w:val="20"/>
              </w:rPr>
              <w:t>b/a*100</w:t>
            </w:r>
          </w:p>
        </w:tc>
        <w:tc>
          <w:tcPr>
            <w:tcW w:w="313" w:type="pct"/>
          </w:tcPr>
          <w:p w:rsidR="00025213" w:rsidRPr="00FF7FF8" w:rsidRDefault="00025213" w:rsidP="005041DA">
            <w:pPr>
              <w:rPr>
                <w:sz w:val="20"/>
              </w:rPr>
            </w:pPr>
            <w:r w:rsidRPr="00FF7FF8">
              <w:rPr>
                <w:rFonts w:hint="eastAsia"/>
                <w:sz w:val="20"/>
              </w:rPr>
              <w:t>較上年增減</w:t>
            </w:r>
          </w:p>
        </w:tc>
      </w:tr>
      <w:tr w:rsidR="00FF7FF8" w:rsidRPr="00FF7FF8" w:rsidTr="00FD636F">
        <w:trPr>
          <w:trHeight w:val="20"/>
        </w:trPr>
        <w:tc>
          <w:tcPr>
            <w:tcW w:w="461" w:type="pct"/>
            <w:vMerge/>
          </w:tcPr>
          <w:p w:rsidR="00025213" w:rsidRPr="00FF7FF8" w:rsidRDefault="00025213" w:rsidP="005041DA">
            <w:pPr>
              <w:rPr>
                <w:sz w:val="24"/>
                <w:szCs w:val="24"/>
              </w:rPr>
            </w:pPr>
          </w:p>
        </w:tc>
        <w:tc>
          <w:tcPr>
            <w:tcW w:w="525" w:type="pct"/>
          </w:tcPr>
          <w:p w:rsidR="00025213" w:rsidRPr="00FF7FF8" w:rsidRDefault="00025213" w:rsidP="004D180E">
            <w:pPr>
              <w:rPr>
                <w:sz w:val="24"/>
                <w:szCs w:val="24"/>
              </w:rPr>
            </w:pPr>
            <w:r w:rsidRPr="00FF7FF8">
              <w:rPr>
                <w:rFonts w:hint="eastAsia"/>
                <w:sz w:val="24"/>
                <w:szCs w:val="24"/>
              </w:rPr>
              <w:t>人</w:t>
            </w:r>
          </w:p>
        </w:tc>
        <w:tc>
          <w:tcPr>
            <w:tcW w:w="525" w:type="pct"/>
          </w:tcPr>
          <w:p w:rsidR="00025213" w:rsidRPr="00FF7FF8" w:rsidRDefault="00025213" w:rsidP="004D180E">
            <w:pPr>
              <w:rPr>
                <w:sz w:val="24"/>
                <w:szCs w:val="24"/>
              </w:rPr>
            </w:pPr>
            <w:r w:rsidRPr="00FF7FF8">
              <w:rPr>
                <w:rFonts w:hint="eastAsia"/>
                <w:sz w:val="24"/>
                <w:szCs w:val="24"/>
              </w:rPr>
              <w:t>人</w:t>
            </w:r>
          </w:p>
        </w:tc>
        <w:tc>
          <w:tcPr>
            <w:tcW w:w="525" w:type="pct"/>
          </w:tcPr>
          <w:p w:rsidR="00025213" w:rsidRPr="00FF7FF8" w:rsidRDefault="00025213" w:rsidP="005041DA">
            <w:pPr>
              <w:rPr>
                <w:sz w:val="24"/>
                <w:szCs w:val="24"/>
              </w:rPr>
            </w:pPr>
            <w:r w:rsidRPr="00FF7FF8">
              <w:rPr>
                <w:rFonts w:hint="eastAsia"/>
                <w:sz w:val="24"/>
                <w:szCs w:val="24"/>
              </w:rPr>
              <w:t>人</w:t>
            </w:r>
          </w:p>
        </w:tc>
        <w:tc>
          <w:tcPr>
            <w:tcW w:w="383" w:type="pct"/>
          </w:tcPr>
          <w:p w:rsidR="00025213" w:rsidRPr="00FF7FF8" w:rsidRDefault="00025213" w:rsidP="005041DA">
            <w:pPr>
              <w:rPr>
                <w:sz w:val="24"/>
                <w:szCs w:val="24"/>
              </w:rPr>
            </w:pPr>
            <w:r w:rsidRPr="00FF7FF8">
              <w:rPr>
                <w:rFonts w:hint="eastAsia"/>
                <w:sz w:val="24"/>
                <w:szCs w:val="24"/>
              </w:rPr>
              <w:t>%</w:t>
            </w:r>
          </w:p>
        </w:tc>
        <w:tc>
          <w:tcPr>
            <w:tcW w:w="313" w:type="pct"/>
          </w:tcPr>
          <w:p w:rsidR="00025213" w:rsidRPr="00FF7FF8" w:rsidRDefault="00FD636F" w:rsidP="005041DA">
            <w:pPr>
              <w:rPr>
                <w:sz w:val="24"/>
                <w:szCs w:val="24"/>
              </w:rPr>
            </w:pPr>
            <w:r w:rsidRPr="00FF7FF8">
              <w:rPr>
                <w:rFonts w:hint="eastAsia"/>
                <w:sz w:val="24"/>
                <w:szCs w:val="24"/>
              </w:rPr>
              <w:t>±</w:t>
            </w:r>
          </w:p>
        </w:tc>
        <w:tc>
          <w:tcPr>
            <w:tcW w:w="525" w:type="pct"/>
          </w:tcPr>
          <w:p w:rsidR="00025213" w:rsidRPr="00FF7FF8" w:rsidRDefault="00025213" w:rsidP="005041DA">
            <w:pPr>
              <w:rPr>
                <w:sz w:val="24"/>
                <w:szCs w:val="24"/>
              </w:rPr>
            </w:pPr>
            <w:r w:rsidRPr="00FF7FF8">
              <w:rPr>
                <w:rFonts w:hint="eastAsia"/>
                <w:sz w:val="24"/>
                <w:szCs w:val="24"/>
              </w:rPr>
              <w:t>人</w:t>
            </w:r>
          </w:p>
        </w:tc>
        <w:tc>
          <w:tcPr>
            <w:tcW w:w="525" w:type="pct"/>
          </w:tcPr>
          <w:p w:rsidR="00025213" w:rsidRPr="00FF7FF8" w:rsidRDefault="00025213" w:rsidP="005041DA">
            <w:pPr>
              <w:rPr>
                <w:sz w:val="24"/>
                <w:szCs w:val="24"/>
              </w:rPr>
            </w:pPr>
            <w:r w:rsidRPr="00FF7FF8">
              <w:rPr>
                <w:rFonts w:hint="eastAsia"/>
                <w:sz w:val="24"/>
                <w:szCs w:val="24"/>
              </w:rPr>
              <w:t>人</w:t>
            </w:r>
          </w:p>
        </w:tc>
        <w:tc>
          <w:tcPr>
            <w:tcW w:w="525" w:type="pct"/>
          </w:tcPr>
          <w:p w:rsidR="00025213" w:rsidRPr="00FF7FF8" w:rsidRDefault="00025213" w:rsidP="005041DA">
            <w:pPr>
              <w:rPr>
                <w:sz w:val="24"/>
                <w:szCs w:val="24"/>
              </w:rPr>
            </w:pPr>
            <w:r w:rsidRPr="00FF7FF8">
              <w:rPr>
                <w:rFonts w:hint="eastAsia"/>
                <w:sz w:val="24"/>
                <w:szCs w:val="24"/>
              </w:rPr>
              <w:t>人</w:t>
            </w:r>
          </w:p>
        </w:tc>
        <w:tc>
          <w:tcPr>
            <w:tcW w:w="380" w:type="pct"/>
          </w:tcPr>
          <w:p w:rsidR="00025213" w:rsidRPr="00FF7FF8" w:rsidRDefault="00025213" w:rsidP="004D180E">
            <w:pPr>
              <w:rPr>
                <w:sz w:val="24"/>
                <w:szCs w:val="24"/>
              </w:rPr>
            </w:pPr>
            <w:r w:rsidRPr="00FF7FF8">
              <w:rPr>
                <w:rFonts w:hint="eastAsia"/>
                <w:sz w:val="24"/>
                <w:szCs w:val="24"/>
              </w:rPr>
              <w:t>%</w:t>
            </w:r>
          </w:p>
        </w:tc>
        <w:tc>
          <w:tcPr>
            <w:tcW w:w="313" w:type="pct"/>
          </w:tcPr>
          <w:p w:rsidR="00025213" w:rsidRPr="00FF7FF8" w:rsidRDefault="00FD636F" w:rsidP="004D180E">
            <w:pPr>
              <w:rPr>
                <w:sz w:val="24"/>
                <w:szCs w:val="24"/>
              </w:rPr>
            </w:pPr>
            <w:r w:rsidRPr="00FF7FF8">
              <w:rPr>
                <w:rFonts w:hint="eastAsia"/>
                <w:sz w:val="24"/>
                <w:szCs w:val="24"/>
              </w:rPr>
              <w:t>±</w:t>
            </w:r>
          </w:p>
        </w:tc>
      </w:tr>
      <w:tr w:rsidR="00FF7FF8" w:rsidRPr="00FF7FF8" w:rsidTr="00624AE4">
        <w:trPr>
          <w:trHeight w:val="603"/>
        </w:trPr>
        <w:tc>
          <w:tcPr>
            <w:tcW w:w="461" w:type="pct"/>
            <w:vAlign w:val="center"/>
          </w:tcPr>
          <w:p w:rsidR="00025213" w:rsidRPr="00FF7FF8" w:rsidRDefault="00025213" w:rsidP="00F6252C">
            <w:pPr>
              <w:jc w:val="right"/>
              <w:rPr>
                <w:sz w:val="22"/>
                <w:szCs w:val="24"/>
              </w:rPr>
            </w:pPr>
            <w:r w:rsidRPr="00FF7FF8">
              <w:rPr>
                <w:rFonts w:hint="eastAsia"/>
                <w:sz w:val="22"/>
                <w:szCs w:val="24"/>
              </w:rPr>
              <w:t>106年</w:t>
            </w:r>
          </w:p>
        </w:tc>
        <w:tc>
          <w:tcPr>
            <w:tcW w:w="525" w:type="pct"/>
            <w:vAlign w:val="center"/>
          </w:tcPr>
          <w:p w:rsidR="00025213" w:rsidRPr="00FF7FF8" w:rsidRDefault="0063181A" w:rsidP="00F6252C">
            <w:pPr>
              <w:jc w:val="right"/>
              <w:rPr>
                <w:sz w:val="24"/>
                <w:szCs w:val="24"/>
              </w:rPr>
            </w:pPr>
            <w:r w:rsidRPr="00FF7FF8">
              <w:rPr>
                <w:rFonts w:hint="eastAsia"/>
                <w:sz w:val="24"/>
                <w:szCs w:val="24"/>
              </w:rPr>
              <w:t>14755</w:t>
            </w:r>
          </w:p>
        </w:tc>
        <w:tc>
          <w:tcPr>
            <w:tcW w:w="525" w:type="pct"/>
            <w:vAlign w:val="center"/>
          </w:tcPr>
          <w:p w:rsidR="00025213" w:rsidRPr="00FF7FF8" w:rsidRDefault="0063181A" w:rsidP="00F6252C">
            <w:pPr>
              <w:jc w:val="right"/>
              <w:rPr>
                <w:sz w:val="24"/>
                <w:szCs w:val="24"/>
              </w:rPr>
            </w:pPr>
            <w:r w:rsidRPr="00FF7FF8">
              <w:rPr>
                <w:rFonts w:hint="eastAsia"/>
                <w:sz w:val="24"/>
                <w:szCs w:val="24"/>
              </w:rPr>
              <w:t>1873</w:t>
            </w:r>
          </w:p>
        </w:tc>
        <w:tc>
          <w:tcPr>
            <w:tcW w:w="525" w:type="pct"/>
            <w:vAlign w:val="center"/>
          </w:tcPr>
          <w:p w:rsidR="00025213" w:rsidRPr="00FF7FF8" w:rsidRDefault="0063181A" w:rsidP="00F6252C">
            <w:pPr>
              <w:overflowPunct/>
              <w:adjustRightInd w:val="0"/>
              <w:snapToGrid w:val="0"/>
              <w:jc w:val="right"/>
              <w:rPr>
                <w:rFonts w:eastAsiaTheme="minorEastAsia" w:hAnsi="標楷體" w:cs="標楷體"/>
                <w:kern w:val="0"/>
                <w:sz w:val="24"/>
                <w:szCs w:val="24"/>
                <w:lang w:val="x-none"/>
              </w:rPr>
            </w:pPr>
            <w:r w:rsidRPr="00FF7FF8">
              <w:rPr>
                <w:rFonts w:eastAsiaTheme="minorEastAsia" w:hAnsi="標楷體" w:cs="標楷體" w:hint="eastAsia"/>
                <w:kern w:val="0"/>
                <w:sz w:val="24"/>
                <w:szCs w:val="24"/>
                <w:lang w:val="x-none"/>
              </w:rPr>
              <w:t>1873</w:t>
            </w:r>
          </w:p>
        </w:tc>
        <w:tc>
          <w:tcPr>
            <w:tcW w:w="383" w:type="pct"/>
            <w:vAlign w:val="center"/>
          </w:tcPr>
          <w:p w:rsidR="00025213" w:rsidRPr="00FF7FF8" w:rsidRDefault="0063181A" w:rsidP="00F6252C">
            <w:pPr>
              <w:jc w:val="right"/>
              <w:rPr>
                <w:spacing w:val="-16"/>
                <w:sz w:val="24"/>
                <w:szCs w:val="24"/>
              </w:rPr>
            </w:pPr>
            <w:r w:rsidRPr="00FF7FF8">
              <w:rPr>
                <w:rFonts w:hint="eastAsia"/>
                <w:spacing w:val="-16"/>
                <w:sz w:val="24"/>
                <w:szCs w:val="24"/>
              </w:rPr>
              <w:t>12.7</w:t>
            </w:r>
          </w:p>
        </w:tc>
        <w:tc>
          <w:tcPr>
            <w:tcW w:w="313" w:type="pct"/>
            <w:vAlign w:val="center"/>
          </w:tcPr>
          <w:p w:rsidR="00025213" w:rsidRPr="00FF7FF8" w:rsidRDefault="0063181A" w:rsidP="00F6252C">
            <w:pPr>
              <w:jc w:val="right"/>
              <w:rPr>
                <w:spacing w:val="-16"/>
                <w:sz w:val="24"/>
                <w:szCs w:val="24"/>
              </w:rPr>
            </w:pPr>
            <w:r w:rsidRPr="00FF7FF8">
              <w:rPr>
                <w:rFonts w:hint="eastAsia"/>
                <w:spacing w:val="-16"/>
                <w:sz w:val="24"/>
                <w:szCs w:val="24"/>
              </w:rPr>
              <w:t>7.0</w:t>
            </w:r>
          </w:p>
        </w:tc>
        <w:tc>
          <w:tcPr>
            <w:tcW w:w="525" w:type="pct"/>
            <w:vAlign w:val="center"/>
          </w:tcPr>
          <w:p w:rsidR="00025213" w:rsidRPr="00FF7FF8" w:rsidRDefault="0063181A" w:rsidP="00F6252C">
            <w:pPr>
              <w:jc w:val="right"/>
              <w:rPr>
                <w:sz w:val="24"/>
                <w:szCs w:val="24"/>
              </w:rPr>
            </w:pPr>
            <w:r w:rsidRPr="00FF7FF8">
              <w:rPr>
                <w:rFonts w:hint="eastAsia"/>
                <w:sz w:val="24"/>
                <w:szCs w:val="24"/>
              </w:rPr>
              <w:t>33789</w:t>
            </w:r>
          </w:p>
        </w:tc>
        <w:tc>
          <w:tcPr>
            <w:tcW w:w="525" w:type="pct"/>
            <w:vAlign w:val="center"/>
          </w:tcPr>
          <w:p w:rsidR="00025213" w:rsidRPr="00FF7FF8" w:rsidRDefault="0063181A" w:rsidP="00F6252C">
            <w:pPr>
              <w:jc w:val="right"/>
              <w:rPr>
                <w:sz w:val="24"/>
                <w:szCs w:val="24"/>
              </w:rPr>
            </w:pPr>
            <w:r w:rsidRPr="00FF7FF8">
              <w:rPr>
                <w:rFonts w:hint="eastAsia"/>
                <w:sz w:val="24"/>
                <w:szCs w:val="24"/>
              </w:rPr>
              <w:t>6688</w:t>
            </w:r>
          </w:p>
        </w:tc>
        <w:tc>
          <w:tcPr>
            <w:tcW w:w="525" w:type="pct"/>
            <w:vAlign w:val="center"/>
          </w:tcPr>
          <w:p w:rsidR="00025213" w:rsidRPr="00FF7FF8" w:rsidRDefault="0063181A" w:rsidP="00F6252C">
            <w:pPr>
              <w:jc w:val="right"/>
              <w:rPr>
                <w:sz w:val="24"/>
                <w:szCs w:val="24"/>
              </w:rPr>
            </w:pPr>
            <w:r w:rsidRPr="00FF7FF8">
              <w:rPr>
                <w:rFonts w:hint="eastAsia"/>
                <w:sz w:val="24"/>
                <w:szCs w:val="24"/>
              </w:rPr>
              <w:t>6687</w:t>
            </w:r>
          </w:p>
        </w:tc>
        <w:tc>
          <w:tcPr>
            <w:tcW w:w="380" w:type="pct"/>
            <w:vAlign w:val="center"/>
          </w:tcPr>
          <w:p w:rsidR="00025213" w:rsidRPr="00FF7FF8" w:rsidRDefault="0063181A" w:rsidP="00F6252C">
            <w:pPr>
              <w:jc w:val="right"/>
              <w:rPr>
                <w:spacing w:val="-16"/>
                <w:sz w:val="24"/>
                <w:szCs w:val="24"/>
              </w:rPr>
            </w:pPr>
            <w:r w:rsidRPr="00FF7FF8">
              <w:rPr>
                <w:rFonts w:hint="eastAsia"/>
                <w:spacing w:val="-16"/>
                <w:sz w:val="24"/>
                <w:szCs w:val="24"/>
              </w:rPr>
              <w:t>19.8</w:t>
            </w:r>
          </w:p>
        </w:tc>
        <w:tc>
          <w:tcPr>
            <w:tcW w:w="313" w:type="pct"/>
            <w:vAlign w:val="center"/>
          </w:tcPr>
          <w:p w:rsidR="00025213" w:rsidRPr="00FF7FF8" w:rsidRDefault="0063181A" w:rsidP="00F6252C">
            <w:pPr>
              <w:jc w:val="right"/>
              <w:rPr>
                <w:spacing w:val="-38"/>
                <w:sz w:val="24"/>
                <w:szCs w:val="24"/>
              </w:rPr>
            </w:pPr>
            <w:r w:rsidRPr="00FF7FF8">
              <w:rPr>
                <w:rFonts w:hint="eastAsia"/>
                <w:spacing w:val="-38"/>
                <w:sz w:val="24"/>
                <w:szCs w:val="24"/>
              </w:rPr>
              <w:t>9.7</w:t>
            </w:r>
          </w:p>
        </w:tc>
      </w:tr>
      <w:tr w:rsidR="00FF7FF8" w:rsidRPr="00FF7FF8" w:rsidTr="00F6252C">
        <w:trPr>
          <w:trHeight w:val="20"/>
        </w:trPr>
        <w:tc>
          <w:tcPr>
            <w:tcW w:w="461" w:type="pct"/>
            <w:vAlign w:val="center"/>
          </w:tcPr>
          <w:p w:rsidR="00025213" w:rsidRPr="00FF7FF8" w:rsidRDefault="00025213" w:rsidP="00F6252C">
            <w:pPr>
              <w:jc w:val="right"/>
              <w:rPr>
                <w:sz w:val="22"/>
                <w:szCs w:val="24"/>
              </w:rPr>
            </w:pPr>
            <w:r w:rsidRPr="00FF7FF8">
              <w:rPr>
                <w:rFonts w:hint="eastAsia"/>
                <w:sz w:val="22"/>
                <w:szCs w:val="24"/>
              </w:rPr>
              <w:t>107年1~6月</w:t>
            </w:r>
          </w:p>
        </w:tc>
        <w:tc>
          <w:tcPr>
            <w:tcW w:w="525" w:type="pct"/>
            <w:vAlign w:val="center"/>
          </w:tcPr>
          <w:p w:rsidR="00025213" w:rsidRPr="00FF7FF8" w:rsidRDefault="0063181A" w:rsidP="00F6252C">
            <w:pPr>
              <w:jc w:val="right"/>
              <w:rPr>
                <w:sz w:val="24"/>
                <w:szCs w:val="24"/>
              </w:rPr>
            </w:pPr>
            <w:r w:rsidRPr="00FF7FF8">
              <w:rPr>
                <w:rFonts w:hint="eastAsia"/>
                <w:sz w:val="24"/>
                <w:szCs w:val="24"/>
              </w:rPr>
              <w:t>7416</w:t>
            </w:r>
          </w:p>
        </w:tc>
        <w:tc>
          <w:tcPr>
            <w:tcW w:w="525" w:type="pct"/>
            <w:vAlign w:val="center"/>
          </w:tcPr>
          <w:p w:rsidR="00025213" w:rsidRPr="00FF7FF8" w:rsidRDefault="0063181A" w:rsidP="00F6252C">
            <w:pPr>
              <w:jc w:val="right"/>
              <w:rPr>
                <w:sz w:val="24"/>
                <w:szCs w:val="24"/>
              </w:rPr>
            </w:pPr>
            <w:r w:rsidRPr="00FF7FF8">
              <w:rPr>
                <w:rFonts w:hint="eastAsia"/>
                <w:sz w:val="24"/>
                <w:szCs w:val="24"/>
              </w:rPr>
              <w:t>961</w:t>
            </w:r>
          </w:p>
        </w:tc>
        <w:tc>
          <w:tcPr>
            <w:tcW w:w="525" w:type="pct"/>
            <w:vAlign w:val="center"/>
          </w:tcPr>
          <w:p w:rsidR="00025213" w:rsidRPr="00FF7FF8" w:rsidRDefault="0063181A" w:rsidP="00F6252C">
            <w:pPr>
              <w:jc w:val="right"/>
              <w:rPr>
                <w:sz w:val="24"/>
                <w:szCs w:val="24"/>
              </w:rPr>
            </w:pPr>
            <w:r w:rsidRPr="00FF7FF8">
              <w:rPr>
                <w:rFonts w:hint="eastAsia"/>
                <w:sz w:val="24"/>
                <w:szCs w:val="24"/>
              </w:rPr>
              <w:t>961</w:t>
            </w:r>
          </w:p>
        </w:tc>
        <w:tc>
          <w:tcPr>
            <w:tcW w:w="383" w:type="pct"/>
            <w:vAlign w:val="center"/>
          </w:tcPr>
          <w:p w:rsidR="00025213" w:rsidRPr="00FF7FF8" w:rsidRDefault="0063181A" w:rsidP="00F6252C">
            <w:pPr>
              <w:jc w:val="right"/>
              <w:rPr>
                <w:spacing w:val="-16"/>
                <w:sz w:val="24"/>
                <w:szCs w:val="24"/>
              </w:rPr>
            </w:pPr>
            <w:r w:rsidRPr="00FF7FF8">
              <w:rPr>
                <w:rFonts w:hint="eastAsia"/>
                <w:spacing w:val="-16"/>
                <w:sz w:val="24"/>
                <w:szCs w:val="24"/>
              </w:rPr>
              <w:t>13.0</w:t>
            </w:r>
          </w:p>
        </w:tc>
        <w:tc>
          <w:tcPr>
            <w:tcW w:w="313" w:type="pct"/>
            <w:vAlign w:val="center"/>
          </w:tcPr>
          <w:p w:rsidR="00025213" w:rsidRPr="00FF7FF8" w:rsidRDefault="0063181A" w:rsidP="00F6252C">
            <w:pPr>
              <w:jc w:val="right"/>
              <w:rPr>
                <w:spacing w:val="-16"/>
                <w:sz w:val="24"/>
                <w:szCs w:val="24"/>
              </w:rPr>
            </w:pPr>
            <w:r w:rsidRPr="00FF7FF8">
              <w:rPr>
                <w:rFonts w:hint="eastAsia"/>
                <w:spacing w:val="-16"/>
                <w:sz w:val="24"/>
                <w:szCs w:val="24"/>
              </w:rPr>
              <w:t>1.6</w:t>
            </w:r>
          </w:p>
        </w:tc>
        <w:tc>
          <w:tcPr>
            <w:tcW w:w="525" w:type="pct"/>
            <w:vAlign w:val="center"/>
          </w:tcPr>
          <w:p w:rsidR="00025213" w:rsidRPr="00FF7FF8" w:rsidRDefault="0063181A" w:rsidP="00F6252C">
            <w:pPr>
              <w:jc w:val="right"/>
              <w:rPr>
                <w:sz w:val="24"/>
                <w:szCs w:val="24"/>
              </w:rPr>
            </w:pPr>
            <w:r w:rsidRPr="00FF7FF8">
              <w:rPr>
                <w:rFonts w:hint="eastAsia"/>
                <w:sz w:val="24"/>
                <w:szCs w:val="24"/>
              </w:rPr>
              <w:t>16978</w:t>
            </w:r>
          </w:p>
        </w:tc>
        <w:tc>
          <w:tcPr>
            <w:tcW w:w="525" w:type="pct"/>
            <w:vAlign w:val="center"/>
          </w:tcPr>
          <w:p w:rsidR="00025213" w:rsidRPr="00FF7FF8" w:rsidRDefault="0063181A" w:rsidP="00F6252C">
            <w:pPr>
              <w:jc w:val="right"/>
              <w:rPr>
                <w:sz w:val="24"/>
                <w:szCs w:val="24"/>
              </w:rPr>
            </w:pPr>
            <w:r w:rsidRPr="00FF7FF8">
              <w:rPr>
                <w:rFonts w:hint="eastAsia"/>
                <w:sz w:val="24"/>
                <w:szCs w:val="24"/>
              </w:rPr>
              <w:t>3395</w:t>
            </w:r>
          </w:p>
        </w:tc>
        <w:tc>
          <w:tcPr>
            <w:tcW w:w="525" w:type="pct"/>
            <w:vAlign w:val="center"/>
          </w:tcPr>
          <w:p w:rsidR="00025213" w:rsidRPr="00FF7FF8" w:rsidRDefault="0063181A" w:rsidP="00F6252C">
            <w:pPr>
              <w:jc w:val="right"/>
              <w:rPr>
                <w:sz w:val="24"/>
                <w:szCs w:val="24"/>
              </w:rPr>
            </w:pPr>
            <w:r w:rsidRPr="00FF7FF8">
              <w:rPr>
                <w:rFonts w:hint="eastAsia"/>
                <w:sz w:val="24"/>
                <w:szCs w:val="24"/>
              </w:rPr>
              <w:t>3394</w:t>
            </w:r>
          </w:p>
        </w:tc>
        <w:tc>
          <w:tcPr>
            <w:tcW w:w="380" w:type="pct"/>
            <w:vAlign w:val="center"/>
          </w:tcPr>
          <w:p w:rsidR="0063181A" w:rsidRPr="00FF7FF8" w:rsidRDefault="0063181A" w:rsidP="0063181A">
            <w:pPr>
              <w:jc w:val="right"/>
              <w:rPr>
                <w:spacing w:val="-16"/>
                <w:sz w:val="24"/>
                <w:szCs w:val="24"/>
              </w:rPr>
            </w:pPr>
            <w:r w:rsidRPr="00FF7FF8">
              <w:rPr>
                <w:rFonts w:hint="eastAsia"/>
                <w:spacing w:val="-16"/>
                <w:sz w:val="24"/>
                <w:szCs w:val="24"/>
              </w:rPr>
              <w:t>20.0</w:t>
            </w:r>
          </w:p>
        </w:tc>
        <w:tc>
          <w:tcPr>
            <w:tcW w:w="313" w:type="pct"/>
            <w:vAlign w:val="center"/>
          </w:tcPr>
          <w:p w:rsidR="00025213" w:rsidRPr="00FF7FF8" w:rsidRDefault="0063181A" w:rsidP="00F6252C">
            <w:pPr>
              <w:jc w:val="right"/>
              <w:rPr>
                <w:spacing w:val="-38"/>
                <w:sz w:val="24"/>
                <w:szCs w:val="24"/>
              </w:rPr>
            </w:pPr>
            <w:r w:rsidRPr="00FF7FF8">
              <w:rPr>
                <w:rFonts w:hint="eastAsia"/>
                <w:spacing w:val="-38"/>
                <w:sz w:val="24"/>
                <w:szCs w:val="24"/>
              </w:rPr>
              <w:t>1.9</w:t>
            </w:r>
          </w:p>
        </w:tc>
      </w:tr>
    </w:tbl>
    <w:p w:rsidR="004D180E" w:rsidRPr="00FF7FF8" w:rsidRDefault="001A157E" w:rsidP="001A157E">
      <w:pPr>
        <w:pStyle w:val="afd"/>
        <w:ind w:leftChars="-125" w:left="-425"/>
      </w:pPr>
      <w:r w:rsidRPr="00FF7FF8">
        <w:rPr>
          <w:rFonts w:hint="eastAsia"/>
        </w:rPr>
        <w:t>資料來源：法務部。</w:t>
      </w:r>
    </w:p>
    <w:p w:rsidR="006A175B" w:rsidRPr="00FF7FF8" w:rsidRDefault="006A175B" w:rsidP="006A175B">
      <w:pPr>
        <w:pStyle w:val="afd"/>
        <w:ind w:leftChars="-125" w:left="224" w:hangingChars="295" w:hanging="649"/>
      </w:pPr>
      <w:r w:rsidRPr="00FF7FF8">
        <w:rPr>
          <w:rFonts w:hint="eastAsia"/>
        </w:rPr>
        <w:t>說明：1.</w:t>
      </w:r>
      <w:r w:rsidRPr="00FF7FF8">
        <w:t>本表以被告犯毒品危害防制條例第10條第1項（第一級）及第2項（第二級）之罪，所實施緩起訴處分案件為統計範圍。</w:t>
      </w:r>
      <w:r w:rsidRPr="00FF7FF8">
        <w:rPr>
          <w:rFonts w:hint="eastAsia"/>
        </w:rPr>
        <w:br/>
      </w:r>
      <w:r w:rsidRPr="00FF7FF8">
        <w:t>2.</w:t>
      </w:r>
      <w:r w:rsidR="00E62F7F" w:rsidRPr="00FF7FF8">
        <w:rPr>
          <w:rFonts w:hint="eastAsia"/>
        </w:rPr>
        <w:t>人次之計算：同</w:t>
      </w:r>
      <w:r w:rsidR="00197C47" w:rsidRPr="00FF7FF8">
        <w:rPr>
          <w:rFonts w:hint="eastAsia"/>
        </w:rPr>
        <w:t>一人於不同月份犯案者會分別計入該月份，故同一人不同月份案件會重複</w:t>
      </w:r>
      <w:r w:rsidR="00E62F7F" w:rsidRPr="00FF7FF8">
        <w:rPr>
          <w:rFonts w:hint="eastAsia"/>
        </w:rPr>
        <w:t>計算。</w:t>
      </w:r>
    </w:p>
    <w:p w:rsidR="006A175B" w:rsidRPr="00FF7FF8" w:rsidRDefault="006A175B" w:rsidP="001A157E">
      <w:pPr>
        <w:pStyle w:val="afd"/>
        <w:ind w:leftChars="-125" w:left="-425"/>
        <w:rPr>
          <w:lang w:val="x-none"/>
        </w:rPr>
      </w:pPr>
    </w:p>
    <w:p w:rsidR="00BA4BE3" w:rsidRPr="00FF7FF8" w:rsidRDefault="00BA4BE3" w:rsidP="00BA4BE3">
      <w:pPr>
        <w:pStyle w:val="3"/>
        <w:numPr>
          <w:ilvl w:val="2"/>
          <w:numId w:val="1"/>
        </w:numPr>
      </w:pPr>
      <w:r w:rsidRPr="00FF7FF8">
        <w:rPr>
          <w:rFonts w:hint="eastAsia"/>
        </w:rPr>
        <w:t>此外，根據法務部查復</w:t>
      </w:r>
      <w:bookmarkStart w:id="51" w:name="_Ref523141291"/>
      <w:r w:rsidR="004A3683" w:rsidRPr="00FF7FF8">
        <w:rPr>
          <w:rStyle w:val="afc"/>
        </w:rPr>
        <w:footnoteReference w:id="4"/>
      </w:r>
      <w:bookmarkEnd w:id="51"/>
      <w:r w:rsidRPr="00FF7FF8">
        <w:rPr>
          <w:rFonts w:hint="eastAsia"/>
        </w:rPr>
        <w:t>，現行毒品轉向處遇機制，除緩起訴處分外，於其他機制亦著重於對施用毒品之行為人進行相關治療，併述如下：</w:t>
      </w:r>
    </w:p>
    <w:p w:rsidR="00BA4BE3" w:rsidRPr="00FF7FF8" w:rsidRDefault="00BA4BE3" w:rsidP="00BA4BE3">
      <w:pPr>
        <w:pStyle w:val="4"/>
        <w:numPr>
          <w:ilvl w:val="3"/>
          <w:numId w:val="1"/>
        </w:numPr>
      </w:pPr>
      <w:r w:rsidRPr="00FF7FF8">
        <w:rPr>
          <w:rFonts w:hint="eastAsia"/>
        </w:rPr>
        <w:t>緩起訴處分程序：</w:t>
      </w:r>
    </w:p>
    <w:p w:rsidR="00BA4BE3" w:rsidRPr="00FF7FF8" w:rsidRDefault="00BA4BE3" w:rsidP="00BA4BE3">
      <w:pPr>
        <w:pStyle w:val="5"/>
        <w:numPr>
          <w:ilvl w:val="4"/>
          <w:numId w:val="1"/>
        </w:numPr>
      </w:pPr>
      <w:r w:rsidRPr="00FF7FF8">
        <w:rPr>
          <w:rFonts w:hint="eastAsia"/>
        </w:rPr>
        <w:t>施用毒品者亦具有病人性質，需要醫療協助，目前雖無一套可適用所有人之戒癮作法，但司法監督下之戒治模式及緩起訴處分模式均有助穩定毒癮者病情，防止再犯。</w:t>
      </w:r>
    </w:p>
    <w:p w:rsidR="00BA4BE3" w:rsidRPr="00FF7FF8" w:rsidRDefault="00BA4BE3" w:rsidP="00BA4BE3">
      <w:pPr>
        <w:pStyle w:val="5"/>
        <w:numPr>
          <w:ilvl w:val="4"/>
          <w:numId w:val="1"/>
        </w:numPr>
      </w:pPr>
      <w:r w:rsidRPr="00FF7FF8">
        <w:rPr>
          <w:rFonts w:hint="eastAsia"/>
        </w:rPr>
        <w:t>對於施用毒品者，各</w:t>
      </w:r>
      <w:r w:rsidR="00F81053" w:rsidRPr="00FF7FF8">
        <w:rPr>
          <w:rFonts w:hAnsi="標楷體" w:hint="eastAsia"/>
        </w:rPr>
        <w:t>地方檢察署</w:t>
      </w:r>
      <w:r w:rsidRPr="00FF7FF8">
        <w:rPr>
          <w:rFonts w:hint="eastAsia"/>
        </w:rPr>
        <w:t>強化附命完成戒癮治療緩起訴處分，由105年之11.5%，已提升至106年17.6%</w:t>
      </w:r>
      <w:r w:rsidR="00E62F7F" w:rsidRPr="00FF7FF8">
        <w:rPr>
          <w:rStyle w:val="afc"/>
        </w:rPr>
        <w:footnoteReference w:id="5"/>
      </w:r>
      <w:r w:rsidRPr="00FF7FF8">
        <w:rPr>
          <w:rFonts w:hint="eastAsia"/>
        </w:rPr>
        <w:t>，並於</w:t>
      </w:r>
      <w:r w:rsidR="00D75696" w:rsidRPr="00FF7FF8">
        <w:rPr>
          <w:rFonts w:hint="eastAsia"/>
        </w:rPr>
        <w:t>4</w:t>
      </w:r>
      <w:r w:rsidRPr="00FF7FF8">
        <w:rPr>
          <w:rFonts w:hint="eastAsia"/>
        </w:rPr>
        <w:t>年內逐步提升至20%，讓毒品施用者在不脫離工作及家庭等狀況下戒除毒癮，復歸社會，是以緩起訴制度雖然會增加程序之負擔，惟仍有其成效，尚不至過度影響檢察官使用該制度之意願。</w:t>
      </w:r>
    </w:p>
    <w:p w:rsidR="00BA4BE3" w:rsidRPr="00FF7FF8" w:rsidRDefault="00BA4BE3" w:rsidP="00BA4BE3">
      <w:pPr>
        <w:pStyle w:val="4"/>
        <w:numPr>
          <w:ilvl w:val="3"/>
          <w:numId w:val="1"/>
        </w:numPr>
      </w:pPr>
      <w:r w:rsidRPr="00FF7FF8">
        <w:rPr>
          <w:rFonts w:hint="eastAsia"/>
        </w:rPr>
        <w:lastRenderedPageBreak/>
        <w:t>法院諭知緩刑並附完成戒癮治療之內容：</w:t>
      </w:r>
    </w:p>
    <w:p w:rsidR="00BA4BE3" w:rsidRPr="00FF7FF8" w:rsidRDefault="00BA4BE3" w:rsidP="00BA4BE3">
      <w:pPr>
        <w:pStyle w:val="42"/>
        <w:ind w:left="1701" w:firstLine="680"/>
      </w:pPr>
      <w:r w:rsidRPr="00FF7FF8">
        <w:rPr>
          <w:rFonts w:hint="eastAsia"/>
        </w:rPr>
        <w:t>經各</w:t>
      </w:r>
      <w:r w:rsidR="00F81053" w:rsidRPr="00FF7FF8">
        <w:rPr>
          <w:rFonts w:hAnsi="標楷體" w:hint="eastAsia"/>
        </w:rPr>
        <w:t>地方檢察署</w:t>
      </w:r>
      <w:r w:rsidRPr="00FF7FF8">
        <w:rPr>
          <w:rFonts w:hint="eastAsia"/>
        </w:rPr>
        <w:t>查復彙整後可知，刑法第74條第2項第6款</w:t>
      </w:r>
      <w:r w:rsidR="00D75696" w:rsidRPr="00FF7FF8">
        <w:rPr>
          <w:rFonts w:hint="eastAsia"/>
        </w:rPr>
        <w:t>規定</w:t>
      </w:r>
      <w:r w:rsidRPr="00FF7FF8">
        <w:rPr>
          <w:rFonts w:hint="eastAsia"/>
        </w:rPr>
        <w:t>之用語與刑事訴訟法第253條之2第1項第6款</w:t>
      </w:r>
      <w:r w:rsidR="00D75696" w:rsidRPr="00FF7FF8">
        <w:rPr>
          <w:rFonts w:hint="eastAsia"/>
        </w:rPr>
        <w:t>規定</w:t>
      </w:r>
      <w:r w:rsidRPr="00FF7FF8">
        <w:rPr>
          <w:rFonts w:hint="eastAsia"/>
        </w:rPr>
        <w:t>之用語完全相同，故施用毒品案件經聲請簡易判決處刑，如經附完成戒癮治療條件之緩刑，與緩起訴戒癮治療之模式相同。</w:t>
      </w:r>
    </w:p>
    <w:p w:rsidR="00BA4BE3" w:rsidRPr="00FF7FF8" w:rsidRDefault="00BA4BE3" w:rsidP="00BA4BE3">
      <w:pPr>
        <w:pStyle w:val="4"/>
        <w:numPr>
          <w:ilvl w:val="3"/>
          <w:numId w:val="1"/>
        </w:numPr>
      </w:pPr>
      <w:r w:rsidRPr="00FF7FF8">
        <w:rPr>
          <w:rFonts w:hint="eastAsia"/>
        </w:rPr>
        <w:t>未諭知緩刑之毒品處遇機制：</w:t>
      </w:r>
    </w:p>
    <w:p w:rsidR="00BA4BE3" w:rsidRPr="00FF7FF8" w:rsidRDefault="00BA4BE3" w:rsidP="00BA4BE3">
      <w:pPr>
        <w:pStyle w:val="42"/>
        <w:ind w:left="1701" w:firstLine="680"/>
      </w:pPr>
      <w:r w:rsidRPr="00FF7FF8">
        <w:rPr>
          <w:rFonts w:hint="eastAsia"/>
        </w:rPr>
        <w:t>如未經法院宣告緩刑之被告，若符合易科罰金、易服勞役之要件者，可以易科罰金、易服勞役，否則必須入監服刑。對無力繳納罰金而入獄服刑之受刑人，</w:t>
      </w:r>
      <w:r w:rsidR="00615177" w:rsidRPr="00FF7FF8">
        <w:rPr>
          <w:rFonts w:hint="eastAsia"/>
        </w:rPr>
        <w:t>法務部矯正署</w:t>
      </w:r>
      <w:r w:rsidRPr="00FF7FF8">
        <w:rPr>
          <w:rFonts w:hint="eastAsia"/>
        </w:rPr>
        <w:t xml:space="preserve">亦有多項協助戒除毒癮之措施： </w:t>
      </w:r>
    </w:p>
    <w:p w:rsidR="00BA4BE3" w:rsidRPr="00FF7FF8" w:rsidRDefault="00BA4BE3" w:rsidP="00BA4BE3">
      <w:pPr>
        <w:pStyle w:val="5"/>
        <w:numPr>
          <w:ilvl w:val="4"/>
          <w:numId w:val="1"/>
        </w:numPr>
      </w:pPr>
      <w:r w:rsidRPr="00FF7FF8">
        <w:rPr>
          <w:rFonts w:hint="eastAsia"/>
        </w:rPr>
        <w:t>精進矯正機關藥癮處遇模式：藥癮者經常伴隨有其他心理健康、工作、家庭和社會功能受損等多樣化的問題，除司法處遇外，更需要連結跨專業、跨領域的網絡合作，因此</w:t>
      </w:r>
      <w:r w:rsidR="00615177" w:rsidRPr="00FF7FF8">
        <w:rPr>
          <w:rFonts w:hint="eastAsia"/>
        </w:rPr>
        <w:t>法務部矯正署</w:t>
      </w:r>
      <w:r w:rsidRPr="00FF7FF8">
        <w:rPr>
          <w:rFonts w:hint="eastAsia"/>
        </w:rPr>
        <w:t>依行政院106年7月21日核定之「新世代反毒策略行動綱領」積極規劃推展「科學實證之毒品犯處遇模式」，預計在107年推行至全國各矯正機關。</w:t>
      </w:r>
      <w:r w:rsidR="00615177" w:rsidRPr="00FF7FF8">
        <w:rPr>
          <w:rFonts w:hint="eastAsia"/>
        </w:rPr>
        <w:t>法務部矯正署</w:t>
      </w:r>
      <w:r w:rsidRPr="00FF7FF8">
        <w:rPr>
          <w:rFonts w:hint="eastAsia"/>
        </w:rPr>
        <w:t>於106年9月間邀請精神醫療、犯罪防治及諮商輔導等領域之專家學者召開諮詢會議，並依美國國家藥物濫用研究所(NIDA,2014)提出之「刑事司法系統下的13項藥癮治療原則」，結合刑事司法制裁與成癮治療，檢視毒品犯累再犯之關鍵因子，訂定出7大面向處遇課程，包括：1.成癮概念及戒癮策略、2.家庭及人際關係、3.職涯發展及財務管理、4.毒品危害及法律責任、5.衛生教育與愛滋防治、6.正確用藥觀念及醫療戒治諮詢、7.戒毒成功人士教育等面向。在課程實施的部分，以</w:t>
      </w:r>
      <w:r w:rsidRPr="00FF7FF8">
        <w:rPr>
          <w:rFonts w:hint="eastAsia"/>
        </w:rPr>
        <w:lastRenderedPageBreak/>
        <w:t>個案為中心，全面推動個案管理制度，視個案在處遇中的變化及需求調整處遇內容，以強化對藥癮正確認知及提昇戒毒動機。另與衛政、社政、勞政形成4方連結，聯合勞動部「新世代反毒就業服務計畫(草案)」、衛福部社工司「藥(毒)癮者家庭支持服務實施計畫(草案)」及衛福部107年接管督導全國毒品危害防制中心等新世代反毒策略，攜手為毒品犯復歸社會及「銜接社區戒癮治療作準備」，希望能達到終身離毒的1個終極目標（參下圖）。</w:t>
      </w:r>
    </w:p>
    <w:p w:rsidR="00BA4BE3" w:rsidRPr="00FF7FF8" w:rsidRDefault="00BA4BE3" w:rsidP="00BA4BE3">
      <w:r w:rsidRPr="00FF7FF8">
        <w:rPr>
          <w:noProof/>
        </w:rPr>
        <w:lastRenderedPageBreak/>
        <w:drawing>
          <wp:inline distT="0" distB="0" distL="0" distR="0" wp14:anchorId="10D704ED" wp14:editId="23E4B29E">
            <wp:extent cx="5494867" cy="8028952"/>
            <wp:effectExtent l="0" t="0" r="0" b="0"/>
            <wp:docPr id="18" name="圖片 18" descr="æ³åé¨ç¯æ­£ç½²ãç§å­¸å¯¦è­ä¹æ¯åç¯èéæ¨¡å¼ãåãå¼·åç¯æ­£æ©éæå­å¥ç£èéæªæ½åä½æ¹æ¡ãç¼è¡¨è¨è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æ³åé¨ç¯æ­£ç½²ãç§å­¸å¯¦è­ä¹æ¯åç¯èéæ¨¡å¼ãåãå¼·åç¯æ­£æ©éæå­å¥ç£èéæªæ½åä½æ¹æ¡ãç¼è¡¨è¨è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176" cy="8025020"/>
                    </a:xfrm>
                    <a:prstGeom prst="rect">
                      <a:avLst/>
                    </a:prstGeom>
                    <a:noFill/>
                    <a:ln>
                      <a:noFill/>
                    </a:ln>
                  </pic:spPr>
                </pic:pic>
              </a:graphicData>
            </a:graphic>
          </wp:inline>
        </w:drawing>
      </w:r>
    </w:p>
    <w:p w:rsidR="00BA4BE3" w:rsidRPr="00FF7FF8" w:rsidRDefault="00D75696" w:rsidP="00BA4BE3">
      <w:r w:rsidRPr="00FF7FF8">
        <w:rPr>
          <w:rFonts w:hint="eastAsia"/>
          <w:sz w:val="24"/>
        </w:rPr>
        <w:t>●圖片來源：法務部矯正署網站(瀏覽路徑：首頁 電子公布欄 新聞訊息資料 發布日期:106/10/25)。</w:t>
      </w:r>
    </w:p>
    <w:p w:rsidR="00BA4BE3" w:rsidRPr="00FF7FF8" w:rsidRDefault="00BA4BE3" w:rsidP="00BA4BE3">
      <w:pPr>
        <w:pStyle w:val="5"/>
        <w:numPr>
          <w:ilvl w:val="4"/>
          <w:numId w:val="1"/>
        </w:numPr>
      </w:pPr>
      <w:r w:rsidRPr="00FF7FF8">
        <w:rPr>
          <w:rFonts w:hint="eastAsia"/>
        </w:rPr>
        <w:lastRenderedPageBreak/>
        <w:t>引進專業醫療及社會資源：</w:t>
      </w:r>
      <w:r w:rsidR="00A754B7" w:rsidRPr="00FF7FF8">
        <w:rPr>
          <w:rFonts w:hint="eastAsia"/>
        </w:rPr>
        <w:t>法務</w:t>
      </w:r>
      <w:r w:rsidRPr="00FF7FF8">
        <w:rPr>
          <w:rFonts w:hint="eastAsia"/>
        </w:rPr>
        <w:t>部矯正署自103年起與衛福部合作辦理「矯正機關藥癮、酒癮戒治醫療服務獎勵計畫」。由5所矯正機關與4家醫療機構合作，引進專業醫療團隊，提供藥酒癮門診、戒癮衛教、團體心理諮商或輔導、出監所轉介諮詢及出監所追蹤等服務，106年增加為7所矯正機關擴大辦理。囿於政府資源有限，而民間心力無窮，</w:t>
      </w:r>
      <w:r w:rsidR="00615177" w:rsidRPr="00FF7FF8">
        <w:rPr>
          <w:rFonts w:hint="eastAsia"/>
        </w:rPr>
        <w:t>法務部矯正署</w:t>
      </w:r>
      <w:r w:rsidRPr="00FF7FF8">
        <w:rPr>
          <w:rFonts w:hint="eastAsia"/>
        </w:rPr>
        <w:t>及各矯正機關為提升藥癮處遇成效，積極尋求民間企業及公益團體等社會資源之合作與挹注。雲林第二監獄自95年起即與台塑企業合作開辦「彩虹計畫」，提供生理衛教、心理輔導及技職訓練等三管齊下的課程，並運用計畫經費聘請「個案管理師」辦理出監後的追蹤輔導。截至106年合計有6所矯正機關與台塑企業合作辦理彩虹、向陽等戒毒計畫。為精進矯正機關藥癮處遇模式，</w:t>
      </w:r>
      <w:r w:rsidR="00615177" w:rsidRPr="00FF7FF8">
        <w:rPr>
          <w:rFonts w:hint="eastAsia"/>
        </w:rPr>
        <w:t>法務部矯正署</w:t>
      </w:r>
      <w:r w:rsidRPr="00FF7FF8">
        <w:rPr>
          <w:rFonts w:hint="eastAsia"/>
        </w:rPr>
        <w:t>依「新世代反毒策略行動綱領」編列107年度藥癮處遇經費計新臺幣2,500萬元，由各矯正機關依「科學實證之毒品犯處遇模式」聘請專業師資(如精神科醫師、心理師、社工師、藥師、護理師、就業輔導員、財務管理、法律專業及戒毒成功人士等)形成處遇團隊，以協助藥癮收容人提升戒癮動機、修復創傷經驗，進而銜接社區支持系統順利復歸社會。</w:t>
      </w:r>
    </w:p>
    <w:p w:rsidR="00BA4BE3" w:rsidRPr="00FF7FF8" w:rsidRDefault="00177B02" w:rsidP="00BA4BE3">
      <w:pPr>
        <w:pStyle w:val="3"/>
        <w:numPr>
          <w:ilvl w:val="2"/>
          <w:numId w:val="1"/>
        </w:numPr>
      </w:pPr>
      <w:r w:rsidRPr="00FF7FF8">
        <w:rPr>
          <w:rFonts w:hint="eastAsia"/>
        </w:rPr>
        <w:t>本院查</w:t>
      </w:r>
      <w:r w:rsidR="00E91231" w:rsidRPr="00FF7FF8">
        <w:rPr>
          <w:rFonts w:hint="eastAsia"/>
        </w:rPr>
        <w:t>欲戒除</w:t>
      </w:r>
      <w:r w:rsidR="00966CA9" w:rsidRPr="00FF7FF8">
        <w:rPr>
          <w:rFonts w:hint="eastAsia"/>
        </w:rPr>
        <w:t>施用毒品行為人</w:t>
      </w:r>
      <w:r w:rsidR="00E91231" w:rsidRPr="00FF7FF8">
        <w:rPr>
          <w:rFonts w:hint="eastAsia"/>
        </w:rPr>
        <w:t>之</w:t>
      </w:r>
      <w:r w:rsidR="00BA4BE3" w:rsidRPr="00FF7FF8">
        <w:rPr>
          <w:rFonts w:hint="eastAsia"/>
        </w:rPr>
        <w:t>藥物成癮，本須長期追蹤、治療，透過行為人自我覺察</w:t>
      </w:r>
      <w:r w:rsidR="009C24EC" w:rsidRPr="00FF7FF8">
        <w:rPr>
          <w:rFonts w:hint="eastAsia"/>
        </w:rPr>
        <w:t>，</w:t>
      </w:r>
      <w:r w:rsidR="00BA4BE3" w:rsidRPr="00FF7FF8">
        <w:rPr>
          <w:rFonts w:hint="eastAsia"/>
        </w:rPr>
        <w:t>並主動積極接受協助，</w:t>
      </w:r>
      <w:r w:rsidR="00966CA9" w:rsidRPr="00FF7FF8">
        <w:rPr>
          <w:rFonts w:hint="eastAsia"/>
        </w:rPr>
        <w:t>甚至須</w:t>
      </w:r>
      <w:r w:rsidR="00197C47" w:rsidRPr="00FF7FF8">
        <w:rPr>
          <w:rFonts w:hint="eastAsia"/>
        </w:rPr>
        <w:t>改變其原先身處之社區、交友環境，方能克竟</w:t>
      </w:r>
      <w:r w:rsidR="00BA4BE3" w:rsidRPr="00FF7FF8">
        <w:rPr>
          <w:rFonts w:hint="eastAsia"/>
        </w:rPr>
        <w:t>其功。否則</w:t>
      </w:r>
      <w:r w:rsidR="00E91231" w:rsidRPr="00FF7FF8">
        <w:rPr>
          <w:rFonts w:hint="eastAsia"/>
        </w:rPr>
        <w:t>，因心癮難以戒除</w:t>
      </w:r>
      <w:r w:rsidR="00BA4BE3" w:rsidRPr="00FF7FF8">
        <w:rPr>
          <w:rFonts w:hint="eastAsia"/>
        </w:rPr>
        <w:t>，施用毒品行為，</w:t>
      </w:r>
      <w:r w:rsidR="009C24EC" w:rsidRPr="00FF7FF8">
        <w:rPr>
          <w:rFonts w:hint="eastAsia"/>
        </w:rPr>
        <w:t>經常</w:t>
      </w:r>
      <w:r w:rsidR="00BA4BE3" w:rsidRPr="00FF7FF8">
        <w:rPr>
          <w:rFonts w:hint="eastAsia"/>
        </w:rPr>
        <w:t>反覆實施，行為人容易再犯。是以，</w:t>
      </w:r>
      <w:r w:rsidR="00BA4BE3" w:rsidRPr="00FF7FF8">
        <w:rPr>
          <w:rFonts w:hint="eastAsia"/>
        </w:rPr>
        <w:lastRenderedPageBreak/>
        <w:t>基</w:t>
      </w:r>
      <w:r w:rsidR="009C24EC" w:rsidRPr="00FF7FF8">
        <w:rPr>
          <w:rFonts w:hint="eastAsia"/>
        </w:rPr>
        <w:t>於施用毒品</w:t>
      </w:r>
      <w:r w:rsidR="00BA4BE3" w:rsidRPr="00FF7FF8">
        <w:rPr>
          <w:rFonts w:hint="eastAsia"/>
        </w:rPr>
        <w:t>行為反覆發生之特性，法務部亦要求檢察官應注意施用毒品行為人，於附命完成戒癮治療之緩起訴處分後，倘再犯施用毒品罪，仍須評估行為人原戒癮治療完成可能性，始可撤銷原緩起訴處分。法務部</w:t>
      </w:r>
      <w:r w:rsidR="002479FC" w:rsidRPr="00FF7FF8">
        <w:rPr>
          <w:rFonts w:hint="eastAsia"/>
        </w:rPr>
        <w:t>就此部分</w:t>
      </w:r>
      <w:r w:rsidR="00BA4BE3" w:rsidRPr="00FF7FF8">
        <w:rPr>
          <w:rFonts w:hint="eastAsia"/>
        </w:rPr>
        <w:t>查復</w:t>
      </w:r>
      <w:r w:rsidR="002479FC" w:rsidRPr="00FF7FF8">
        <w:rPr>
          <w:rFonts w:hint="eastAsia"/>
        </w:rPr>
        <w:t>內容</w:t>
      </w:r>
      <w:r w:rsidR="00BA4BE3" w:rsidRPr="00FF7FF8">
        <w:rPr>
          <w:rFonts w:hint="eastAsia"/>
        </w:rPr>
        <w:t>略以</w:t>
      </w:r>
      <w:r w:rsidR="00966CA9" w:rsidRPr="00FF7FF8">
        <w:rPr>
          <w:rStyle w:val="afc"/>
        </w:rPr>
        <w:footnoteReference w:id="6"/>
      </w:r>
      <w:r w:rsidR="00BA4BE3" w:rsidRPr="00FF7FF8">
        <w:rPr>
          <w:rFonts w:hint="eastAsia"/>
        </w:rPr>
        <w:t>：</w:t>
      </w:r>
    </w:p>
    <w:p w:rsidR="00197C47" w:rsidRPr="00FF7FF8" w:rsidRDefault="00197C47" w:rsidP="00197C47">
      <w:pPr>
        <w:pStyle w:val="4"/>
      </w:pPr>
      <w:r w:rsidRPr="00FF7FF8">
        <w:rPr>
          <w:rFonts w:hint="eastAsia"/>
        </w:rPr>
        <w:t>施用毒品者亦具有病人性質，需要醫療協助，目前雖無一套可適用所有人之戒癮作法，但司法監督下之戒治模式及緩起訴處分模式均有助穩定毒癮者病情，防止再犯。</w:t>
      </w:r>
    </w:p>
    <w:p w:rsidR="00197C47" w:rsidRPr="00FF7FF8" w:rsidRDefault="00197C47" w:rsidP="00197C47">
      <w:pPr>
        <w:pStyle w:val="4"/>
      </w:pPr>
      <w:r w:rsidRPr="00FF7FF8">
        <w:rPr>
          <w:rFonts w:hint="eastAsia"/>
        </w:rPr>
        <w:t>為強化附命完成戒癮治療緩起訴處分之醫療成效，法務部以104年12月25日法檢字第10404546010號函表示：「鑑於被告施用毒品之成癮程度隨個案而異，戒癮治療未必於短期內即展現成效，如被告於戒癮治療期間有施用毒品行為，基於毒品犯亦具有病人之特性，檢察官除考量被告違反緩起訴處分條件之情節外，仍宜綜合徵詢觀護人、醫療院、所及地方毒品防制中心意見，從被告完成戒癮治療之可能性，評估緩起訴處分有無維持之實益後，再依職權決定是否撤銷緩起訴處分。」又於105年11月17日法檢字第10504537270號函請各</w:t>
      </w:r>
      <w:r w:rsidRPr="00FF7FF8">
        <w:rPr>
          <w:rFonts w:hAnsi="標楷體" w:hint="eastAsia"/>
        </w:rPr>
        <w:t>地方檢察署</w:t>
      </w:r>
      <w:r w:rsidRPr="00FF7FF8">
        <w:rPr>
          <w:rFonts w:hint="eastAsia"/>
        </w:rPr>
        <w:t>檢察官就施用毒品案件，妥為運用毒品危害防制條例第24條規定，積極辦理附命完成戒癮治療緩起訴處分，並結合各項資源，強化毒品施用者社會處遇。另於105年11月25日召集一、二審檢察署（主任）檢察官，就「如何提升附命完成戒癮治療緩起訴比率及成效」進行討論，請檢察官從「病人」觀點，給予更多醫療機會，讓被告可以逐步擺脫毒品。</w:t>
      </w:r>
      <w:r w:rsidRPr="00FF7FF8">
        <w:rPr>
          <w:rFonts w:hint="eastAsia"/>
        </w:rPr>
        <w:lastRenderedPageBreak/>
        <w:t>另請二審檢察官也考量被告有無持續接受醫療之需求及完成戒癮治療之可能性，審核撤銷緩起訴處分或再為緩起訴處分之妥適性。</w:t>
      </w:r>
    </w:p>
    <w:p w:rsidR="00BA4BE3" w:rsidRPr="00FF7FF8" w:rsidRDefault="00197C47" w:rsidP="00197C47">
      <w:pPr>
        <w:pStyle w:val="4"/>
      </w:pPr>
      <w:r w:rsidRPr="00FF7FF8">
        <w:rPr>
          <w:rFonts w:hint="eastAsia"/>
        </w:rPr>
        <w:t>參諸世界各國之醫療經驗及醫學界之共識，咸認施用毒品成癮者，其心癮甚難戒除，致其再犯率均偏高。法務部將與衛生福利部（以下簡稱衛福部）共同合作，提升戒癮治療成效，避免施用者再犯。另將促請一、二審檢察官注意，毒品犯亦具有病人之特性，應從被告完成戒癮治療之可能性詳細評估，審慎決定是否撤銷緩起訴處分，以降低緩起訴之撤銷比率。希望以此種機構外的處遇模式，讓毒品施用者在不脫離工作及家庭等支持系統的狀況下戒除毒癮，復歸社會，達成「首重降低需求」之反毒政策。</w:t>
      </w:r>
    </w:p>
    <w:p w:rsidR="00BA4BE3" w:rsidRPr="00FF7FF8" w:rsidRDefault="00BA4BE3" w:rsidP="00BA4BE3">
      <w:pPr>
        <w:pStyle w:val="3"/>
        <w:numPr>
          <w:ilvl w:val="2"/>
          <w:numId w:val="1"/>
        </w:numPr>
      </w:pPr>
      <w:r w:rsidRPr="00FF7FF8">
        <w:rPr>
          <w:rFonts w:hint="eastAsia"/>
        </w:rPr>
        <w:t>法務部表示</w:t>
      </w:r>
      <w:r w:rsidR="00750E11" w:rsidRPr="00FF7FF8">
        <w:rPr>
          <w:rFonts w:hint="eastAsia"/>
        </w:rPr>
        <w:t>，</w:t>
      </w:r>
      <w:r w:rsidR="007F4882" w:rsidRPr="00FF7FF8">
        <w:rPr>
          <w:rFonts w:hint="eastAsia"/>
        </w:rPr>
        <w:t>第1次</w:t>
      </w:r>
      <w:r w:rsidRPr="00FF7FF8">
        <w:rPr>
          <w:rFonts w:hint="eastAsia"/>
        </w:rPr>
        <w:t>施用毒品經命完成戒癮治療之緩起訴後，如再次施用毒品時，仍得由檢察官為緩起訴處分並附命完成戒癮治療</w:t>
      </w:r>
      <w:r w:rsidR="00750E11" w:rsidRPr="00FF7FF8">
        <w:rPr>
          <w:rStyle w:val="afc"/>
        </w:rPr>
        <w:footnoteReference w:id="7"/>
      </w:r>
      <w:r w:rsidRPr="00FF7FF8">
        <w:rPr>
          <w:rFonts w:hint="eastAsia"/>
        </w:rPr>
        <w:t>：</w:t>
      </w:r>
    </w:p>
    <w:p w:rsidR="00BA4BE3" w:rsidRPr="00FF7FF8" w:rsidRDefault="00BA4BE3" w:rsidP="00BA4BE3">
      <w:pPr>
        <w:pStyle w:val="4"/>
        <w:numPr>
          <w:ilvl w:val="3"/>
          <w:numId w:val="1"/>
        </w:numPr>
      </w:pPr>
      <w:r w:rsidRPr="00FF7FF8">
        <w:rPr>
          <w:rFonts w:hint="eastAsia"/>
        </w:rPr>
        <w:t>刑事訴訟法第253條之3規定</w:t>
      </w:r>
      <w:r w:rsidRPr="00FF7FF8">
        <w:rPr>
          <w:rStyle w:val="afc"/>
        </w:rPr>
        <w:footnoteReference w:id="8"/>
      </w:r>
      <w:r w:rsidRPr="00FF7FF8">
        <w:rPr>
          <w:rFonts w:hint="eastAsia"/>
        </w:rPr>
        <w:t>，係「得」撤銷緩起訴處分，換言之，緩起訴處分是否撤銷，檢察官有裁量權；又再次施用毒品行為只要符合刑事訴訟法第253條之1規定，即仍得為緩起訴處分，此亦係檢察官之職權。</w:t>
      </w:r>
    </w:p>
    <w:p w:rsidR="00BA4BE3" w:rsidRPr="00FF7FF8" w:rsidRDefault="00BA4BE3" w:rsidP="00BA4BE3">
      <w:pPr>
        <w:pStyle w:val="4"/>
        <w:numPr>
          <w:ilvl w:val="3"/>
          <w:numId w:val="1"/>
        </w:numPr>
      </w:pPr>
      <w:r w:rsidRPr="00FF7FF8">
        <w:rPr>
          <w:rFonts w:hint="eastAsia"/>
        </w:rPr>
        <w:t>鑑於被告施用毒品之成癮程度隨個案而異，戒癮治療未必於短期內即展現成效，如被告於戒癮治</w:t>
      </w:r>
      <w:r w:rsidRPr="00FF7FF8">
        <w:rPr>
          <w:rFonts w:hint="eastAsia"/>
        </w:rPr>
        <w:lastRenderedPageBreak/>
        <w:t>療期間有施用毒品行為，基於毒品犯亦具有病人之特性，檢察官除考量被告違反緩起訴處分條件之情節外，仍宜綜合徵詢觀護人、</w:t>
      </w:r>
      <w:r w:rsidR="00701628" w:rsidRPr="00FF7FF8">
        <w:rPr>
          <w:rFonts w:hint="eastAsia"/>
        </w:rPr>
        <w:t>醫療院、所</w:t>
      </w:r>
      <w:r w:rsidRPr="00FF7FF8">
        <w:rPr>
          <w:rFonts w:hint="eastAsia"/>
        </w:rPr>
        <w:t>及地方毒品防制中心意見，從被告完成戒癮治療之可能性，評估緩起訴處分有無維持之實益，再依職權決定是否撤銷緩起訴處分。而對於再次施用毒品行為本身，檢察官仍得為緩起訴處分。目前政府雖有逐年提升緩起訴處分比率之政策，惟是否為緩起訴處分，仍係由檢察官在前開法律規定之範圍內，斟酌前開因素決定之。</w:t>
      </w:r>
    </w:p>
    <w:p w:rsidR="00D97EAF" w:rsidRPr="00FF7FF8" w:rsidRDefault="00A225CD" w:rsidP="00D97EAF">
      <w:pPr>
        <w:pStyle w:val="3"/>
      </w:pPr>
      <w:r w:rsidRPr="00FF7FF8">
        <w:rPr>
          <w:rFonts w:hAnsi="標楷體" w:hint="eastAsia"/>
        </w:rPr>
        <w:t>地方檢察署辦理施用第一、二級毒品案件，</w:t>
      </w:r>
      <w:r w:rsidR="00D97EAF" w:rsidRPr="00FF7FF8">
        <w:rPr>
          <w:rFonts w:hAnsi="標楷體" w:hint="eastAsia"/>
        </w:rPr>
        <w:t>附命完成戒癮治療緩起訴之</w:t>
      </w:r>
      <w:r w:rsidRPr="00FF7FF8">
        <w:rPr>
          <w:rFonts w:hAnsi="標楷體" w:hint="eastAsia"/>
        </w:rPr>
        <w:t>成效</w:t>
      </w:r>
      <w:r w:rsidR="00D97EAF" w:rsidRPr="00FF7FF8">
        <w:rPr>
          <w:rFonts w:hAnsi="標楷體" w:hint="eastAsia"/>
        </w:rPr>
        <w:t>:</w:t>
      </w:r>
    </w:p>
    <w:p w:rsidR="00A225CD" w:rsidRPr="00FF7FF8" w:rsidRDefault="00A225CD" w:rsidP="00A225CD">
      <w:pPr>
        <w:pStyle w:val="4"/>
      </w:pPr>
      <w:r w:rsidRPr="00FF7FF8">
        <w:rPr>
          <w:rFonts w:hAnsi="標楷體" w:hint="eastAsia"/>
        </w:rPr>
        <w:t>有文獻</w:t>
      </w:r>
      <w:r w:rsidR="00502F59" w:rsidRPr="00FF7FF8">
        <w:rPr>
          <w:rStyle w:val="afc"/>
          <w:rFonts w:hAnsi="標楷體"/>
        </w:rPr>
        <w:footnoteReference w:id="9"/>
      </w:r>
      <w:r w:rsidRPr="00FF7FF8">
        <w:rPr>
          <w:rFonts w:hAnsi="標楷體" w:hint="eastAsia"/>
        </w:rPr>
        <w:t>指出，附命完成戒癮治療緩起訴之績效評量分述如下:</w:t>
      </w:r>
    </w:p>
    <w:p w:rsidR="00A225CD" w:rsidRPr="00FF7FF8" w:rsidRDefault="00A225CD" w:rsidP="00A225CD">
      <w:pPr>
        <w:pStyle w:val="5"/>
      </w:pPr>
      <w:r w:rsidRPr="00FF7FF8">
        <w:rPr>
          <w:rFonts w:hAnsi="標楷體" w:hint="eastAsia"/>
        </w:rPr>
        <w:t>附命完成戒癮治療之緩起訴處分為當前重</w:t>
      </w:r>
      <w:r w:rsidR="00197C47" w:rsidRPr="00FF7FF8">
        <w:rPr>
          <w:rFonts w:hAnsi="標楷體" w:hint="eastAsia"/>
        </w:rPr>
        <w:t>要刑事政策，法務部為定期追蹤各級地檢署執行成效，多次發函要求各</w:t>
      </w:r>
      <w:r w:rsidRPr="00FF7FF8">
        <w:rPr>
          <w:rFonts w:hAnsi="標楷體" w:hint="eastAsia"/>
        </w:rPr>
        <w:t>地檢署務必達成預定之績效目標</w:t>
      </w:r>
      <w:r w:rsidRPr="00FF7FF8">
        <w:rPr>
          <w:rStyle w:val="afc"/>
          <w:rFonts w:hAnsi="標楷體"/>
        </w:rPr>
        <w:footnoteReference w:id="10"/>
      </w:r>
      <w:r w:rsidR="00197C47" w:rsidRPr="00FF7FF8">
        <w:rPr>
          <w:rFonts w:hAnsi="標楷體" w:hint="eastAsia"/>
        </w:rPr>
        <w:t>以上，並作為年度機關績效評比及機關人員考績、陞</w:t>
      </w:r>
      <w:r w:rsidRPr="00FF7FF8">
        <w:rPr>
          <w:rFonts w:hAnsi="標楷體" w:hint="eastAsia"/>
        </w:rPr>
        <w:t>遷、調動參考，執行成效不彰者，將要求提具檢討報告及改進措施。鼓勵檢察官於個案作成附命完成戒癮治療之緩起訴處分，目的在於增加程序運作價值。越多個案進入緩起訴程序，即有機率戒除毒癮，擺脫反覆吸毒、監禁之輪迴。</w:t>
      </w:r>
    </w:p>
    <w:p w:rsidR="00A225CD" w:rsidRPr="00FF7FF8" w:rsidRDefault="00A225CD" w:rsidP="00A225CD">
      <w:pPr>
        <w:pStyle w:val="5"/>
      </w:pPr>
      <w:r w:rsidRPr="00FF7FF8">
        <w:rPr>
          <w:rFonts w:hAnsi="標楷體" w:hint="eastAsia"/>
        </w:rPr>
        <w:t>惟近年來因緩起訴處分造成刑事訴訟程序之</w:t>
      </w:r>
      <w:r w:rsidRPr="00FF7FF8">
        <w:rPr>
          <w:rFonts w:hAnsi="標楷體" w:hint="eastAsia"/>
        </w:rPr>
        <w:lastRenderedPageBreak/>
        <w:t>繁累，增加檢察官之</w:t>
      </w:r>
      <w:r w:rsidR="00197C47" w:rsidRPr="00FF7FF8">
        <w:rPr>
          <w:rFonts w:hAnsi="標楷體" w:hint="eastAsia"/>
        </w:rPr>
        <w:t>工作負擔，緩起訴處分成效未見彰顯。另適用觀察勒戒處分之被告人數占各該年度施用毒品全部人數之比率</w:t>
      </w:r>
      <w:r w:rsidRPr="00FF7FF8">
        <w:rPr>
          <w:rFonts w:hAnsi="標楷體" w:hint="eastAsia"/>
        </w:rPr>
        <w:t>亦逐年遞減。法務部為因應情勢變更，並採取較為務實之策略，乃於105年7月7日以法檢字第10504517640號函調整（降低）績效考核指標為8%以上。雖然刑事政策上鼓勵檢察官為緩起訴處分，但司法實務上撤銷緩起訴甚高，第一級毒品部分，101、102年撤銷緩起訴比率分別達83%及78.6%；第二級毒品部分，101、102年撤銷緩起訴比率亦分別達51%及48.9%。</w:t>
      </w:r>
    </w:p>
    <w:p w:rsidR="00D97EAF" w:rsidRPr="00FF7FF8" w:rsidRDefault="00B54704" w:rsidP="00D97EAF">
      <w:pPr>
        <w:pStyle w:val="4"/>
      </w:pPr>
      <w:r w:rsidRPr="00FF7FF8">
        <w:rPr>
          <w:rFonts w:hAnsi="標楷體" w:hint="eastAsia"/>
        </w:rPr>
        <w:t>司法實務上，施用第一、二級毒品案件，因違背應遵守或履行之事項遭撤銷緩起訴之比率，</w:t>
      </w:r>
      <w:r w:rsidR="00040A10" w:rsidRPr="00FF7FF8">
        <w:rPr>
          <w:rFonts w:hAnsi="標楷體" w:hint="eastAsia"/>
        </w:rPr>
        <w:t>數年來，均居高不下。</w:t>
      </w:r>
      <w:r w:rsidRPr="00FF7FF8">
        <w:rPr>
          <w:rFonts w:hAnsi="標楷體" w:hint="eastAsia"/>
        </w:rPr>
        <w:t>詳如下表</w:t>
      </w:r>
      <w:r w:rsidR="007F2D27" w:rsidRPr="00FF7FF8">
        <w:rPr>
          <w:rFonts w:hAnsi="標楷體" w:hint="eastAsia"/>
        </w:rPr>
        <w:t>4所示</w:t>
      </w:r>
      <w:r w:rsidRPr="00FF7FF8">
        <w:rPr>
          <w:rFonts w:hAnsi="標楷體" w:hint="eastAsia"/>
        </w:rPr>
        <w:t>:</w:t>
      </w:r>
      <w:r w:rsidR="007F2D27" w:rsidRPr="00FF7FF8">
        <w:rPr>
          <w:noProof/>
        </w:rPr>
        <w:t xml:space="preserve"> </w:t>
      </w:r>
    </w:p>
    <w:p w:rsidR="00C32D4A" w:rsidRPr="00FF7FF8" w:rsidRDefault="00C32D4A" w:rsidP="00C32D4A">
      <w:pPr>
        <w:jc w:val="center"/>
      </w:pPr>
      <w:r w:rsidRPr="00FF7FF8">
        <w:rPr>
          <w:rFonts w:hint="eastAsia"/>
          <w:sz w:val="28"/>
        </w:rPr>
        <w:t>表4 【</w:t>
      </w:r>
      <w:r w:rsidRPr="00FF7FF8">
        <w:rPr>
          <w:rFonts w:hAnsi="標楷體" w:hint="eastAsia"/>
          <w:sz w:val="28"/>
        </w:rPr>
        <w:t>地方檢察署</w:t>
      </w:r>
      <w:r w:rsidRPr="00FF7FF8">
        <w:rPr>
          <w:rFonts w:hint="eastAsia"/>
          <w:sz w:val="28"/>
        </w:rPr>
        <w:t>施用毒品案件遭撤銷緩起訴處分-按撤銷原因分】</w:t>
      </w:r>
    </w:p>
    <w:p w:rsidR="00D97EAF" w:rsidRPr="00FF7FF8" w:rsidRDefault="00C32D4A" w:rsidP="00B54704">
      <w:pPr>
        <w:jc w:val="center"/>
      </w:pPr>
      <w:r w:rsidRPr="00FF7FF8">
        <w:rPr>
          <w:noProof/>
        </w:rPr>
        <mc:AlternateContent>
          <mc:Choice Requires="wps">
            <w:drawing>
              <wp:anchor distT="0" distB="0" distL="114300" distR="114300" simplePos="0" relativeHeight="251679744" behindDoc="0" locked="0" layoutInCell="1" allowOverlap="1" wp14:anchorId="17A52BEC" wp14:editId="3692AC04">
                <wp:simplePos x="0" y="0"/>
                <wp:positionH relativeFrom="column">
                  <wp:posOffset>4966970</wp:posOffset>
                </wp:positionH>
                <wp:positionV relativeFrom="paragraph">
                  <wp:posOffset>1423670</wp:posOffset>
                </wp:positionV>
                <wp:extent cx="403860" cy="1795780"/>
                <wp:effectExtent l="0" t="0" r="15240" b="13970"/>
                <wp:wrapNone/>
                <wp:docPr id="41" name="矩形 41"/>
                <wp:cNvGraphicFramePr/>
                <a:graphic xmlns:a="http://schemas.openxmlformats.org/drawingml/2006/main">
                  <a:graphicData uri="http://schemas.microsoft.com/office/word/2010/wordprocessingShape">
                    <wps:wsp>
                      <wps:cNvSpPr/>
                      <wps:spPr>
                        <a:xfrm>
                          <a:off x="0" y="0"/>
                          <a:ext cx="403860" cy="1795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 o:spid="_x0000_s1026" style="position:absolute;margin-left:391.1pt;margin-top:112.1pt;width:31.8pt;height:14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" filled="f" strokecolor="red" strokeweight="2pt"/>
            </w:pict>
          </mc:Fallback>
        </mc:AlternateContent>
      </w:r>
      <w:r w:rsidR="007F2D27" w:rsidRPr="00FF7FF8">
        <w:rPr>
          <w:noProof/>
        </w:rPr>
        <mc:AlternateContent>
          <mc:Choice Requires="wps">
            <w:drawing>
              <wp:anchor distT="0" distB="0" distL="114300" distR="114300" simplePos="0" relativeHeight="251677696" behindDoc="0" locked="0" layoutInCell="1" allowOverlap="1" wp14:anchorId="33DDE088" wp14:editId="61FB9B65">
                <wp:simplePos x="0" y="0"/>
                <wp:positionH relativeFrom="column">
                  <wp:posOffset>2626360</wp:posOffset>
                </wp:positionH>
                <wp:positionV relativeFrom="paragraph">
                  <wp:posOffset>1413873</wp:posOffset>
                </wp:positionV>
                <wp:extent cx="403860" cy="1784350"/>
                <wp:effectExtent l="0" t="0" r="15240" b="25400"/>
                <wp:wrapNone/>
                <wp:docPr id="40" name="矩形 40"/>
                <wp:cNvGraphicFramePr/>
                <a:graphic xmlns:a="http://schemas.openxmlformats.org/drawingml/2006/main">
                  <a:graphicData uri="http://schemas.microsoft.com/office/word/2010/wordprocessingShape">
                    <wps:wsp>
                      <wps:cNvSpPr/>
                      <wps:spPr>
                        <a:xfrm>
                          <a:off x="0" y="0"/>
                          <a:ext cx="403860" cy="178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0" o:spid="_x0000_s1026" style="position:absolute;margin-left:206.8pt;margin-top:111.35pt;width:31.8pt;height:1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" filled="f" strokecolor="red" strokeweight="2pt"/>
            </w:pict>
          </mc:Fallback>
        </mc:AlternateContent>
      </w:r>
      <w:r w:rsidR="00B54704" w:rsidRPr="00FF7FF8">
        <w:rPr>
          <w:noProof/>
        </w:rPr>
        <w:drawing>
          <wp:inline distT="0" distB="0" distL="0" distR="0" wp14:anchorId="0C85514E" wp14:editId="718CC81E">
            <wp:extent cx="5344886" cy="3498302"/>
            <wp:effectExtent l="0" t="0" r="8255" b="698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44887" cy="3498303"/>
                    </a:xfrm>
                    <a:prstGeom prst="rect">
                      <a:avLst/>
                    </a:prstGeom>
                  </pic:spPr>
                </pic:pic>
              </a:graphicData>
            </a:graphic>
          </wp:inline>
        </w:drawing>
      </w:r>
    </w:p>
    <w:p w:rsidR="006C6E6C" w:rsidRPr="00FF7FF8" w:rsidRDefault="006C6E6C" w:rsidP="006C6E6C">
      <w:pPr>
        <w:pStyle w:val="3"/>
        <w:numPr>
          <w:ilvl w:val="2"/>
          <w:numId w:val="1"/>
        </w:numPr>
      </w:pPr>
      <w:r w:rsidRPr="00FF7FF8">
        <w:rPr>
          <w:rFonts w:hint="eastAsia"/>
        </w:rPr>
        <w:t>從而</w:t>
      </w:r>
      <w:r w:rsidR="00781482" w:rsidRPr="00FF7FF8">
        <w:rPr>
          <w:rFonts w:hint="eastAsia"/>
        </w:rPr>
        <w:t>，</w:t>
      </w:r>
      <w:r w:rsidRPr="00FF7FF8">
        <w:rPr>
          <w:rFonts w:hint="eastAsia"/>
        </w:rPr>
        <w:t>現行成人施用一、二級毒品之司法處遇，可概略表示如下：</w:t>
      </w:r>
    </w:p>
    <w:p w:rsidR="006C6E6C" w:rsidRPr="00FF7FF8" w:rsidRDefault="006C6E6C" w:rsidP="006C6E6C">
      <w:r w:rsidRPr="00FF7FF8">
        <w:rPr>
          <w:rFonts w:hint="eastAsia"/>
          <w:noProof/>
        </w:rPr>
        <w:lastRenderedPageBreak/>
        <w:drawing>
          <wp:inline distT="0" distB="0" distL="0" distR="0" wp14:anchorId="40E61C3D" wp14:editId="56D61505">
            <wp:extent cx="5486400" cy="2560320"/>
            <wp:effectExtent l="38100" t="0" r="19050" b="0"/>
            <wp:docPr id="32" name="資料庫圖表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C6E6C" w:rsidRPr="00FF7FF8" w:rsidRDefault="006C6E6C" w:rsidP="006C6E6C">
      <w:pPr>
        <w:jc w:val="center"/>
      </w:pPr>
      <w:r w:rsidRPr="00FF7FF8">
        <w:rPr>
          <w:rFonts w:hint="eastAsia"/>
          <w:noProof/>
        </w:rPr>
        <w:drawing>
          <wp:inline distT="0" distB="0" distL="0" distR="0" wp14:anchorId="6DF137E1" wp14:editId="59F9B57D">
            <wp:extent cx="5486400" cy="3200400"/>
            <wp:effectExtent l="38100" t="0" r="57150" b="0"/>
            <wp:docPr id="36" name="資料庫圖表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A4BE3" w:rsidRPr="00FF7FF8" w:rsidRDefault="00BA4BE3" w:rsidP="00BA4BE3">
      <w:pPr>
        <w:pStyle w:val="3"/>
        <w:numPr>
          <w:ilvl w:val="2"/>
          <w:numId w:val="1"/>
        </w:numPr>
      </w:pPr>
      <w:r w:rsidRPr="00FF7FF8">
        <w:rPr>
          <w:rFonts w:hint="eastAsia"/>
        </w:rPr>
        <w:t>惟查，依毒品危害防制條例第10條</w:t>
      </w:r>
      <w:r w:rsidR="006253ED" w:rsidRPr="00FF7FF8">
        <w:rPr>
          <w:rFonts w:hint="eastAsia"/>
        </w:rPr>
        <w:t>，施用第一、二級毒品之行為人</w:t>
      </w:r>
      <w:r w:rsidRPr="00FF7FF8">
        <w:rPr>
          <w:rFonts w:hint="eastAsia"/>
        </w:rPr>
        <w:t>，本質上仍屬犯罪行為，依最高法院96年度第9次刑事庭會議決議見解</w:t>
      </w:r>
      <w:r w:rsidRPr="00FF7FF8">
        <w:rPr>
          <w:rStyle w:val="afc"/>
        </w:rPr>
        <w:footnoteReference w:id="11"/>
      </w:r>
      <w:r w:rsidRPr="00FF7FF8">
        <w:rPr>
          <w:rFonts w:hint="eastAsia"/>
        </w:rPr>
        <w:t>，施用毒品</w:t>
      </w:r>
      <w:r w:rsidRPr="00FF7FF8">
        <w:rPr>
          <w:rFonts w:hint="eastAsia"/>
        </w:rPr>
        <w:lastRenderedPageBreak/>
        <w:t>罪在連續犯廢除後，係採一罪一罰之見解，並不因施用毒品行為具有反覆實施之特性，即遽以認定僅構成一罪，否則無異於鼓勵犯罪。但在行為人反覆施用毒品</w:t>
      </w:r>
      <w:r w:rsidR="00A012B3" w:rsidRPr="00FF7FF8">
        <w:rPr>
          <w:rFonts w:hint="eastAsia"/>
        </w:rPr>
        <w:t>情形</w:t>
      </w:r>
      <w:r w:rsidRPr="00FF7FF8">
        <w:rPr>
          <w:rFonts w:hint="eastAsia"/>
        </w:rPr>
        <w:t>，而檢察官</w:t>
      </w:r>
      <w:r w:rsidR="00FE7611" w:rsidRPr="00FF7FF8">
        <w:rPr>
          <w:rFonts w:hint="eastAsia"/>
        </w:rPr>
        <w:t>倘</w:t>
      </w:r>
      <w:r w:rsidR="00A012B3" w:rsidRPr="00FF7FF8">
        <w:rPr>
          <w:rFonts w:hint="eastAsia"/>
        </w:rPr>
        <w:t>因法務部推展提高緩起訴處分比率之政策，</w:t>
      </w:r>
      <w:r w:rsidRPr="00FF7FF8">
        <w:rPr>
          <w:rFonts w:hint="eastAsia"/>
        </w:rPr>
        <w:t>一再</w:t>
      </w:r>
      <w:r w:rsidR="00A012B3" w:rsidRPr="00FF7FF8">
        <w:rPr>
          <w:rFonts w:hint="eastAsia"/>
        </w:rPr>
        <w:t>地</w:t>
      </w:r>
      <w:r w:rsidRPr="00FF7FF8">
        <w:rPr>
          <w:rFonts w:hint="eastAsia"/>
        </w:rPr>
        <w:t>給予緩起訴處分，是否對於須以刑罰制裁之施用毒品行為人，反而因法務部政策，而獲邀排除刑罰或延遲進行之寬典？又如不以撤銷緩起訴處分作為開展對被告進行刑事追訴之手段，成為強制被告完成履行戒癮治療之後盾，</w:t>
      </w:r>
      <w:r w:rsidR="00701628" w:rsidRPr="00FF7FF8">
        <w:rPr>
          <w:rFonts w:hint="eastAsia"/>
        </w:rPr>
        <w:t>將</w:t>
      </w:r>
      <w:r w:rsidRPr="00FF7FF8">
        <w:rPr>
          <w:rFonts w:hint="eastAsia"/>
        </w:rPr>
        <w:t>如何透過緩起訴處分發揮個別預防功能，並</w:t>
      </w:r>
      <w:r w:rsidR="00FE7611" w:rsidRPr="00FF7FF8">
        <w:rPr>
          <w:rFonts w:hint="eastAsia"/>
        </w:rPr>
        <w:t>達成</w:t>
      </w:r>
      <w:r w:rsidRPr="00FF7FF8">
        <w:rPr>
          <w:rFonts w:hint="eastAsia"/>
        </w:rPr>
        <w:t>鼓勵被告自新及復歸社會之制度目的？</w:t>
      </w:r>
    </w:p>
    <w:p w:rsidR="00BA4BE3" w:rsidRPr="00FF7FF8" w:rsidRDefault="00BA4BE3" w:rsidP="00BA4BE3">
      <w:pPr>
        <w:pStyle w:val="3"/>
        <w:numPr>
          <w:ilvl w:val="2"/>
          <w:numId w:val="1"/>
        </w:numPr>
      </w:pPr>
      <w:r w:rsidRPr="00FF7FF8">
        <w:rPr>
          <w:rFonts w:hint="eastAsia"/>
        </w:rPr>
        <w:t>再者，施用毒品之處遇機制，並非僅止於附命完成戒癮治療之緩起訴處分；承上述</w:t>
      </w:r>
      <w:r w:rsidR="00D210DA" w:rsidRPr="00FF7FF8">
        <w:rPr>
          <w:rFonts w:hint="eastAsia"/>
        </w:rPr>
        <w:t>法務</w:t>
      </w:r>
      <w:r w:rsidR="00177B02" w:rsidRPr="00FF7FF8">
        <w:rPr>
          <w:rFonts w:hint="eastAsia"/>
        </w:rPr>
        <w:t>部</w:t>
      </w:r>
      <w:r w:rsidR="00D210DA" w:rsidRPr="00FF7FF8">
        <w:rPr>
          <w:rFonts w:hint="eastAsia"/>
        </w:rPr>
        <w:t>說明</w:t>
      </w:r>
      <w:r w:rsidRPr="00FF7FF8">
        <w:rPr>
          <w:rFonts w:hint="eastAsia"/>
        </w:rPr>
        <w:t>，</w:t>
      </w:r>
      <w:r w:rsidR="00D210DA" w:rsidRPr="00FF7FF8">
        <w:rPr>
          <w:rFonts w:hint="eastAsia"/>
        </w:rPr>
        <w:t>尚有</w:t>
      </w:r>
      <w:r w:rsidRPr="00FF7FF8">
        <w:rPr>
          <w:rFonts w:hint="eastAsia"/>
        </w:rPr>
        <w:t>觀察勒戒及強制戒治、緩刑附帶戒癮治療，抑或入監執行等多元處遇。甚至在入監執行之情形，亦可配合法務部矯正署現正推行之「科學實證之毒品犯處遇模式」，參照美國國家藥物濫用研究所提出「13項治療原則」，並結合刑事制裁與成癮治療，所訂定之「7大面向處遇課程」，進行監所之機構內處遇，以及出獄後透過矯正與衛政、勞政及社政系統之「4方連結」，提供毒品犯復歸社會之管道，以達成終身離毒之「1個目標」，亦可作為戒除毒癮之</w:t>
      </w:r>
      <w:r w:rsidRPr="00FF7FF8">
        <w:rPr>
          <w:rFonts w:hint="eastAsia"/>
        </w:rPr>
        <w:lastRenderedPageBreak/>
        <w:t>可行方式。</w:t>
      </w:r>
    </w:p>
    <w:p w:rsidR="00094DB3" w:rsidRPr="00FF7FF8" w:rsidRDefault="00094DB3" w:rsidP="00BA4BE3">
      <w:pPr>
        <w:pStyle w:val="3"/>
        <w:numPr>
          <w:ilvl w:val="2"/>
          <w:numId w:val="1"/>
        </w:numPr>
      </w:pPr>
      <w:r w:rsidRPr="00FF7FF8">
        <w:rPr>
          <w:rFonts w:hint="eastAsia"/>
        </w:rPr>
        <w:t>另有文獻指出</w:t>
      </w:r>
      <w:r w:rsidRPr="00FF7FF8">
        <w:rPr>
          <w:rStyle w:val="afc"/>
        </w:rPr>
        <w:footnoteReference w:id="12"/>
      </w:r>
      <w:r w:rsidRPr="00FF7FF8">
        <w:rPr>
          <w:rFonts w:hint="eastAsia"/>
        </w:rPr>
        <w:t>，被告</w:t>
      </w:r>
      <w:r w:rsidR="00EB2457" w:rsidRPr="00FF7FF8">
        <w:rPr>
          <w:rFonts w:hint="eastAsia"/>
        </w:rPr>
        <w:t>施用第一級毒品</w:t>
      </w:r>
      <w:r w:rsidRPr="00FF7FF8">
        <w:rPr>
          <w:rFonts w:hint="eastAsia"/>
        </w:rPr>
        <w:t>經附命完成戒癮治療之緩起訴處分之再犯率，高於其他處遇機制：</w:t>
      </w:r>
    </w:p>
    <w:p w:rsidR="00E23FBA" w:rsidRPr="00FF7FF8" w:rsidRDefault="00E23FBA" w:rsidP="00E23FBA">
      <w:pPr>
        <w:pStyle w:val="4"/>
        <w:numPr>
          <w:ilvl w:val="3"/>
          <w:numId w:val="1"/>
        </w:numPr>
        <w:rPr>
          <w:rFonts w:hAnsi="標楷體"/>
        </w:rPr>
      </w:pPr>
      <w:r w:rsidRPr="00FF7FF8">
        <w:rPr>
          <w:rFonts w:hAnsi="標楷體"/>
        </w:rPr>
        <w:t>95</w:t>
      </w:r>
      <w:r w:rsidRPr="00FF7FF8">
        <w:rPr>
          <w:rFonts w:hAnsi="標楷體" w:hint="eastAsia"/>
        </w:rPr>
        <w:t>年至</w:t>
      </w:r>
      <w:r w:rsidRPr="00FF7FF8">
        <w:rPr>
          <w:rFonts w:hAnsi="標楷體"/>
        </w:rPr>
        <w:t>105</w:t>
      </w:r>
      <w:r w:rsidR="00197C47" w:rsidRPr="00FF7FF8">
        <w:rPr>
          <w:rFonts w:hAnsi="標楷體" w:hint="eastAsia"/>
        </w:rPr>
        <w:t>年地方檢察署緩起訴戒癮</w:t>
      </w:r>
      <w:r w:rsidRPr="00FF7FF8">
        <w:rPr>
          <w:rFonts w:hAnsi="標楷體" w:hint="eastAsia"/>
        </w:rPr>
        <w:t>治療人數總計</w:t>
      </w:r>
      <w:r w:rsidRPr="00FF7FF8">
        <w:rPr>
          <w:rFonts w:hAnsi="標楷體"/>
        </w:rPr>
        <w:t>23,699</w:t>
      </w:r>
      <w:r w:rsidRPr="00FF7FF8">
        <w:rPr>
          <w:rFonts w:hAnsi="標楷體" w:hint="eastAsia"/>
        </w:rPr>
        <w:t>人，由開始執行緩起訴戒癮治療觀察至</w:t>
      </w:r>
      <w:r w:rsidRPr="00FF7FF8">
        <w:rPr>
          <w:rFonts w:hAnsi="標楷體"/>
        </w:rPr>
        <w:t>105</w:t>
      </w:r>
      <w:r w:rsidRPr="00FF7FF8">
        <w:rPr>
          <w:rFonts w:hAnsi="標楷體" w:hint="eastAsia"/>
        </w:rPr>
        <w:t>年12月底止，再犯人數總計12,414人，再犯率為52.4%。</w:t>
      </w:r>
    </w:p>
    <w:p w:rsidR="00E23FBA" w:rsidRPr="00FF7FF8" w:rsidRDefault="00E23FBA" w:rsidP="00E23FBA">
      <w:pPr>
        <w:pStyle w:val="4"/>
        <w:numPr>
          <w:ilvl w:val="3"/>
          <w:numId w:val="1"/>
        </w:numPr>
        <w:rPr>
          <w:rFonts w:hAnsi="標楷體"/>
        </w:rPr>
      </w:pPr>
      <w:r w:rsidRPr="00FF7FF8">
        <w:rPr>
          <w:rFonts w:hAnsi="標楷體" w:hint="eastAsia"/>
        </w:rPr>
        <w:t>同期第一級毒品緩起訴戒癮治療者</w:t>
      </w:r>
      <w:r w:rsidRPr="00FF7FF8">
        <w:rPr>
          <w:rFonts w:hAnsi="標楷體"/>
        </w:rPr>
        <w:t>10,463</w:t>
      </w:r>
      <w:r w:rsidRPr="00FF7FF8">
        <w:rPr>
          <w:rFonts w:hAnsi="標楷體" w:hint="eastAsia"/>
        </w:rPr>
        <w:t>人，觀察至</w:t>
      </w:r>
      <w:r w:rsidRPr="00FF7FF8">
        <w:rPr>
          <w:rFonts w:hAnsi="標楷體"/>
        </w:rPr>
        <w:t>105</w:t>
      </w:r>
      <w:r w:rsidRPr="00FF7FF8">
        <w:rPr>
          <w:rFonts w:hAnsi="標楷體" w:hint="eastAsia"/>
        </w:rPr>
        <w:t>年</w:t>
      </w:r>
      <w:r w:rsidRPr="00FF7FF8">
        <w:rPr>
          <w:rFonts w:hAnsi="標楷體"/>
        </w:rPr>
        <w:t>12</w:t>
      </w:r>
      <w:r w:rsidRPr="00FF7FF8">
        <w:rPr>
          <w:rFonts w:hAnsi="標楷體" w:hint="eastAsia"/>
        </w:rPr>
        <w:t>月底止再犯人數為</w:t>
      </w:r>
      <w:r w:rsidRPr="00FF7FF8">
        <w:rPr>
          <w:rFonts w:hAnsi="標楷體"/>
        </w:rPr>
        <w:t>6,999</w:t>
      </w:r>
      <w:r w:rsidRPr="00FF7FF8">
        <w:rPr>
          <w:rFonts w:hAnsi="標楷體" w:hint="eastAsia"/>
        </w:rPr>
        <w:t>人，再犯率為</w:t>
      </w:r>
      <w:r w:rsidRPr="00FF7FF8">
        <w:rPr>
          <w:rFonts w:hAnsi="標楷體"/>
        </w:rPr>
        <w:t>66.9%</w:t>
      </w:r>
      <w:r w:rsidRPr="00FF7FF8">
        <w:rPr>
          <w:rFonts w:hAnsi="標楷體" w:hint="eastAsia"/>
        </w:rPr>
        <w:t>。第二級毒品緩起訴戒癮治療者</w:t>
      </w:r>
      <w:r w:rsidRPr="00FF7FF8">
        <w:rPr>
          <w:rFonts w:hAnsi="標楷體"/>
        </w:rPr>
        <w:t>13,236</w:t>
      </w:r>
      <w:r w:rsidRPr="00FF7FF8">
        <w:rPr>
          <w:rFonts w:hAnsi="標楷體" w:hint="eastAsia"/>
        </w:rPr>
        <w:t>人，再犯人數為</w:t>
      </w:r>
      <w:r w:rsidRPr="00FF7FF8">
        <w:rPr>
          <w:rFonts w:hAnsi="標楷體"/>
        </w:rPr>
        <w:t>5,415</w:t>
      </w:r>
      <w:r w:rsidRPr="00FF7FF8">
        <w:rPr>
          <w:rFonts w:hAnsi="標楷體" w:hint="eastAsia"/>
        </w:rPr>
        <w:t>人，再犯率為</w:t>
      </w:r>
      <w:r w:rsidRPr="00FF7FF8">
        <w:rPr>
          <w:rFonts w:hAnsi="標楷體"/>
        </w:rPr>
        <w:t>40.9%</w:t>
      </w:r>
      <w:r w:rsidRPr="00FF7FF8">
        <w:rPr>
          <w:rFonts w:hAnsi="標楷體" w:hint="eastAsia"/>
        </w:rPr>
        <w:t>。</w:t>
      </w:r>
    </w:p>
    <w:tbl>
      <w:tblPr>
        <w:tblStyle w:val="af6"/>
        <w:tblW w:w="0" w:type="auto"/>
        <w:tblInd w:w="1809" w:type="dxa"/>
        <w:tblLook w:val="04A0" w:firstRow="1" w:lastRow="0" w:firstColumn="1" w:lastColumn="0" w:noHBand="0" w:noVBand="1"/>
      </w:tblPr>
      <w:tblGrid>
        <w:gridCol w:w="3686"/>
        <w:gridCol w:w="3405"/>
      </w:tblGrid>
      <w:tr w:rsidR="00FF7FF8" w:rsidRPr="00FF7FF8" w:rsidTr="00E91168">
        <w:tc>
          <w:tcPr>
            <w:tcW w:w="3686" w:type="dxa"/>
          </w:tcPr>
          <w:p w:rsidR="00E23FBA" w:rsidRPr="00FF7FF8" w:rsidRDefault="00E23FBA" w:rsidP="005041DA">
            <w:pPr>
              <w:rPr>
                <w:rFonts w:hAnsi="標楷體"/>
              </w:rPr>
            </w:pPr>
          </w:p>
        </w:tc>
        <w:tc>
          <w:tcPr>
            <w:tcW w:w="3405" w:type="dxa"/>
          </w:tcPr>
          <w:p w:rsidR="00E23FBA" w:rsidRPr="00FF7FF8" w:rsidRDefault="00E23FBA" w:rsidP="005041DA">
            <w:pPr>
              <w:rPr>
                <w:rFonts w:hAnsi="標楷體"/>
              </w:rPr>
            </w:pPr>
            <w:r w:rsidRPr="00FF7FF8">
              <w:rPr>
                <w:rFonts w:hAnsi="標楷體" w:hint="eastAsia"/>
              </w:rPr>
              <w:t>再犯率</w:t>
            </w:r>
          </w:p>
        </w:tc>
      </w:tr>
      <w:tr w:rsidR="00FF7FF8" w:rsidRPr="00FF7FF8" w:rsidTr="00E91168">
        <w:tc>
          <w:tcPr>
            <w:tcW w:w="3686" w:type="dxa"/>
          </w:tcPr>
          <w:p w:rsidR="00E23FBA" w:rsidRPr="00FF7FF8" w:rsidRDefault="00E23FBA" w:rsidP="005041DA">
            <w:pPr>
              <w:rPr>
                <w:rFonts w:hAnsi="標楷體"/>
              </w:rPr>
            </w:pPr>
            <w:r w:rsidRPr="00FF7FF8">
              <w:rPr>
                <w:rFonts w:hAnsi="標楷體" w:hint="eastAsia"/>
              </w:rPr>
              <w:t>第一級毒品</w:t>
            </w:r>
          </w:p>
        </w:tc>
        <w:tc>
          <w:tcPr>
            <w:tcW w:w="3405" w:type="dxa"/>
          </w:tcPr>
          <w:p w:rsidR="00E23FBA" w:rsidRPr="00FF7FF8" w:rsidRDefault="00E23FBA" w:rsidP="005041DA">
            <w:pPr>
              <w:rPr>
                <w:rFonts w:hAnsi="標楷體"/>
              </w:rPr>
            </w:pPr>
            <w:r w:rsidRPr="00FF7FF8">
              <w:rPr>
                <w:rFonts w:hAnsi="標楷體"/>
              </w:rPr>
              <w:t>66.9%</w:t>
            </w:r>
          </w:p>
        </w:tc>
      </w:tr>
      <w:tr w:rsidR="00FF7FF8" w:rsidRPr="00FF7FF8" w:rsidTr="00E91168">
        <w:tc>
          <w:tcPr>
            <w:tcW w:w="3686" w:type="dxa"/>
          </w:tcPr>
          <w:p w:rsidR="00E23FBA" w:rsidRPr="00FF7FF8" w:rsidRDefault="00E23FBA" w:rsidP="005041DA">
            <w:pPr>
              <w:rPr>
                <w:rFonts w:hAnsi="標楷體"/>
              </w:rPr>
            </w:pPr>
            <w:r w:rsidRPr="00FF7FF8">
              <w:rPr>
                <w:rFonts w:hAnsi="標楷體" w:hint="eastAsia"/>
              </w:rPr>
              <w:t>第二級毒品</w:t>
            </w:r>
          </w:p>
        </w:tc>
        <w:tc>
          <w:tcPr>
            <w:tcW w:w="3405" w:type="dxa"/>
          </w:tcPr>
          <w:p w:rsidR="00E23FBA" w:rsidRPr="00FF7FF8" w:rsidRDefault="00E23FBA" w:rsidP="005041DA">
            <w:pPr>
              <w:rPr>
                <w:rFonts w:hAnsi="標楷體"/>
              </w:rPr>
            </w:pPr>
            <w:r w:rsidRPr="00FF7FF8">
              <w:rPr>
                <w:rFonts w:hAnsi="標楷體"/>
              </w:rPr>
              <w:t>40.9%</w:t>
            </w:r>
          </w:p>
        </w:tc>
      </w:tr>
    </w:tbl>
    <w:p w:rsidR="00E23FBA" w:rsidRPr="00FF7FF8" w:rsidRDefault="00E23FBA" w:rsidP="00E23FBA">
      <w:pPr>
        <w:pStyle w:val="4"/>
        <w:rPr>
          <w:rFonts w:hAnsi="標楷體"/>
        </w:rPr>
      </w:pPr>
      <w:r w:rsidRPr="00FF7FF8">
        <w:rPr>
          <w:rFonts w:hAnsi="標楷體" w:hint="eastAsia"/>
        </w:rPr>
        <w:t>以緩起訴戒癮治療後再犯施用毒品所經過期間分析</w:t>
      </w:r>
      <w:r w:rsidR="0041288C" w:rsidRPr="00FF7FF8">
        <w:rPr>
          <w:rFonts w:hAnsi="標楷體" w:hint="eastAsia"/>
        </w:rPr>
        <w:t>其</w:t>
      </w:r>
      <w:r w:rsidRPr="00FF7FF8">
        <w:rPr>
          <w:rFonts w:hAnsi="標楷體" w:hint="eastAsia"/>
        </w:rPr>
        <w:t>結構，如下圖所示：</w:t>
      </w:r>
    </w:p>
    <w:p w:rsidR="00E23FBA" w:rsidRPr="00FF7FF8" w:rsidRDefault="000131B2" w:rsidP="00E23FBA">
      <w:pPr>
        <w:jc w:val="center"/>
        <w:rPr>
          <w:rFonts w:hAnsi="標楷體"/>
        </w:rPr>
      </w:pPr>
      <w:r w:rsidRPr="00FF7FF8">
        <w:rPr>
          <w:noProof/>
        </w:rPr>
        <w:lastRenderedPageBreak/>
        <w:drawing>
          <wp:inline distT="0" distB="0" distL="0" distR="0" wp14:anchorId="5BB454E6" wp14:editId="3029E940">
            <wp:extent cx="5334000" cy="347472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4000" cy="3474720"/>
                    </a:xfrm>
                    <a:prstGeom prst="rect">
                      <a:avLst/>
                    </a:prstGeom>
                  </pic:spPr>
                </pic:pic>
              </a:graphicData>
            </a:graphic>
          </wp:inline>
        </w:drawing>
      </w:r>
    </w:p>
    <w:p w:rsidR="00E23FBA" w:rsidRPr="00FF7FF8" w:rsidRDefault="0074757B" w:rsidP="0074757B">
      <w:pPr>
        <w:pStyle w:val="a1"/>
        <w:numPr>
          <w:ilvl w:val="0"/>
          <w:numId w:val="0"/>
        </w:numPr>
        <w:ind w:left="697"/>
        <w:jc w:val="both"/>
        <w:rPr>
          <w:rFonts w:hAnsi="標楷體"/>
        </w:rPr>
      </w:pPr>
      <w:r w:rsidRPr="00FF7FF8">
        <w:rPr>
          <w:rFonts w:hAnsi="標楷體" w:hint="eastAsia"/>
        </w:rPr>
        <w:t xml:space="preserve">        圖1 </w:t>
      </w:r>
      <w:r w:rsidRPr="00FF7FF8">
        <w:rPr>
          <w:rFonts w:hint="eastAsia"/>
        </w:rPr>
        <w:t>【</w:t>
      </w:r>
      <w:r w:rsidRPr="00FF7FF8">
        <w:rPr>
          <w:rFonts w:hAnsi="標楷體" w:hint="eastAsia"/>
        </w:rPr>
        <w:t>緩起訴戒癮治療後再犯所經過期間</w:t>
      </w:r>
      <w:r w:rsidRPr="00FF7FF8">
        <w:rPr>
          <w:rFonts w:hint="eastAsia"/>
        </w:rPr>
        <w:t>】</w:t>
      </w:r>
    </w:p>
    <w:p w:rsidR="00E23FBA" w:rsidRPr="00FF7FF8" w:rsidRDefault="00E23FBA" w:rsidP="005041DA">
      <w:pPr>
        <w:pStyle w:val="4"/>
      </w:pPr>
      <w:r w:rsidRPr="00FF7FF8">
        <w:rPr>
          <w:rFonts w:hint="eastAsia"/>
        </w:rPr>
        <w:t>緩起訴戒癮治療執行效益評估</w:t>
      </w:r>
    </w:p>
    <w:p w:rsidR="00E23FBA" w:rsidRPr="00FF7FF8" w:rsidRDefault="00E23FBA" w:rsidP="005041DA">
      <w:pPr>
        <w:pStyle w:val="5"/>
      </w:pPr>
      <w:r w:rsidRPr="00FF7FF8">
        <w:rPr>
          <w:rFonts w:hint="eastAsia"/>
        </w:rPr>
        <w:t>96年至105年各類機構處遇情形，如下圖所示：</w:t>
      </w:r>
    </w:p>
    <w:p w:rsidR="00E23FBA" w:rsidRPr="00FF7FF8" w:rsidRDefault="00E23FBA" w:rsidP="00E23FBA">
      <w:pPr>
        <w:pStyle w:val="5"/>
        <w:numPr>
          <w:ilvl w:val="0"/>
          <w:numId w:val="0"/>
        </w:numPr>
        <w:jc w:val="center"/>
        <w:rPr>
          <w:rFonts w:hAnsi="標楷體"/>
        </w:rPr>
      </w:pPr>
      <w:r w:rsidRPr="00FF7FF8">
        <w:rPr>
          <w:rFonts w:hAnsi="標楷體"/>
          <w:noProof/>
        </w:rPr>
        <w:drawing>
          <wp:inline distT="0" distB="0" distL="0" distR="0" wp14:anchorId="52E61317" wp14:editId="5F774733">
            <wp:extent cx="5181600" cy="3764280"/>
            <wp:effectExtent l="0" t="0" r="0"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81600" cy="3764280"/>
                    </a:xfrm>
                    <a:prstGeom prst="rect">
                      <a:avLst/>
                    </a:prstGeom>
                  </pic:spPr>
                </pic:pic>
              </a:graphicData>
            </a:graphic>
          </wp:inline>
        </w:drawing>
      </w:r>
    </w:p>
    <w:p w:rsidR="00E23FBA" w:rsidRPr="00FF7FF8" w:rsidRDefault="0074757B" w:rsidP="0074757B">
      <w:pPr>
        <w:pStyle w:val="a1"/>
        <w:numPr>
          <w:ilvl w:val="0"/>
          <w:numId w:val="0"/>
        </w:numPr>
        <w:rPr>
          <w:rFonts w:hAnsi="標楷體"/>
        </w:rPr>
      </w:pPr>
      <w:r w:rsidRPr="00FF7FF8">
        <w:rPr>
          <w:rFonts w:hint="eastAsia"/>
        </w:rPr>
        <w:t xml:space="preserve"> 圖2 【</w:t>
      </w:r>
      <w:r w:rsidRPr="00FF7FF8">
        <w:rPr>
          <w:rFonts w:hAnsi="標楷體" w:hint="eastAsia"/>
        </w:rPr>
        <w:t>機構處遇出獄（所）再犯毒品施用經過期間</w:t>
      </w:r>
      <w:r w:rsidRPr="00FF7FF8">
        <w:rPr>
          <w:rFonts w:hint="eastAsia"/>
        </w:rPr>
        <w:t>】</w:t>
      </w:r>
    </w:p>
    <w:p w:rsidR="005041DA" w:rsidRPr="00FF7FF8" w:rsidRDefault="00EB2457" w:rsidP="005041DA">
      <w:pPr>
        <w:pStyle w:val="4"/>
        <w:rPr>
          <w:bCs/>
        </w:rPr>
      </w:pPr>
      <w:r w:rsidRPr="00FF7FF8">
        <w:rPr>
          <w:rFonts w:hint="eastAsia"/>
        </w:rPr>
        <w:lastRenderedPageBreak/>
        <w:t>作者指出，施用</w:t>
      </w:r>
      <w:r w:rsidR="005041DA" w:rsidRPr="00FF7FF8">
        <w:rPr>
          <w:rFonts w:hint="eastAsia"/>
        </w:rPr>
        <w:t>第一級</w:t>
      </w:r>
      <w:r w:rsidRPr="00FF7FF8">
        <w:rPr>
          <w:rFonts w:hint="eastAsia"/>
        </w:rPr>
        <w:t>毒品之被告</w:t>
      </w:r>
      <w:r w:rsidR="005041DA" w:rsidRPr="00FF7FF8">
        <w:rPr>
          <w:rFonts w:hint="eastAsia"/>
        </w:rPr>
        <w:t>緩起訴戒癮治療再犯率(66.9%）高於各類機構處遇再犯率。相對於前述機構處遇再犯情形，以95年至105年實施毒品緩起訴戒癮治療者，觀察至105年12月底止，第一級緩起訴戒癮治療再犯率(66.9%）高於各類機構處遇再犯率。</w:t>
      </w:r>
    </w:p>
    <w:p w:rsidR="00AC68AC" w:rsidRPr="00FF7FF8" w:rsidRDefault="00AC68AC" w:rsidP="00AC68AC">
      <w:pPr>
        <w:pStyle w:val="4"/>
        <w:numPr>
          <w:ilvl w:val="3"/>
          <w:numId w:val="1"/>
        </w:numPr>
        <w:rPr>
          <w:rFonts w:hAnsi="標楷體"/>
        </w:rPr>
      </w:pPr>
      <w:r w:rsidRPr="00FF7FF8">
        <w:rPr>
          <w:rFonts w:hAnsi="標楷體" w:hint="eastAsia"/>
        </w:rPr>
        <w:t>緩起訴前犯次為「5年内再犯」者之再犯率在不同毒品級別均高（第一級超過7成；第二級超過5成）：</w:t>
      </w:r>
    </w:p>
    <w:p w:rsidR="00AC68AC" w:rsidRPr="00FF7FF8" w:rsidRDefault="00197C47" w:rsidP="00AC68AC">
      <w:pPr>
        <w:pStyle w:val="42"/>
        <w:ind w:left="1701" w:firstLine="680"/>
        <w:rPr>
          <w:rFonts w:hAnsi="標楷體"/>
        </w:rPr>
      </w:pPr>
      <w:r w:rsidRPr="00FF7FF8">
        <w:rPr>
          <w:rFonts w:hAnsi="標楷體" w:hint="eastAsia"/>
        </w:rPr>
        <w:t>由緩起訴前犯次觀察再犯情形，發現「5</w:t>
      </w:r>
      <w:r w:rsidR="00AC68AC" w:rsidRPr="00FF7FF8">
        <w:rPr>
          <w:rFonts w:hAnsi="標楷體" w:hint="eastAsia"/>
        </w:rPr>
        <w:t>年内再犯」者之再犯率在不同毒品級別均高（第一級毒品超過7成；第二級毒品超過5成）；「初犯」者之再犯率，雖然第一級毒品仍高（再犯率為</w:t>
      </w:r>
      <w:r w:rsidR="00AC68AC" w:rsidRPr="00FF7FF8">
        <w:rPr>
          <w:rFonts w:hAnsi="標楷體"/>
        </w:rPr>
        <w:t>57.0%)</w:t>
      </w:r>
      <w:r w:rsidR="00AC68AC" w:rsidRPr="00FF7FF8">
        <w:rPr>
          <w:rFonts w:hAnsi="標楷體" w:hint="eastAsia"/>
        </w:rPr>
        <w:t>，惟第二級毒品則相對較低（再犯率為</w:t>
      </w:r>
      <w:r w:rsidR="00AC68AC" w:rsidRPr="00FF7FF8">
        <w:rPr>
          <w:rFonts w:hAnsi="標楷體"/>
        </w:rPr>
        <w:t>36.2%)</w:t>
      </w:r>
      <w:r w:rsidR="00AC68AC" w:rsidRPr="00FF7FF8">
        <w:rPr>
          <w:rFonts w:hAnsi="標楷體" w:hint="eastAsia"/>
        </w:rPr>
        <w:t>，顯見參與對象之篩選對實施成效，具關鍵影響力。</w:t>
      </w:r>
    </w:p>
    <w:p w:rsidR="00AC68AC" w:rsidRPr="00FF7FF8" w:rsidRDefault="00AC68AC" w:rsidP="00AC68AC">
      <w:pPr>
        <w:pStyle w:val="4"/>
        <w:numPr>
          <w:ilvl w:val="3"/>
          <w:numId w:val="1"/>
        </w:numPr>
        <w:rPr>
          <w:rFonts w:hAnsi="標楷體"/>
        </w:rPr>
      </w:pPr>
      <w:r w:rsidRPr="00FF7FF8">
        <w:rPr>
          <w:rFonts w:hAnsi="標楷體"/>
        </w:rPr>
        <w:tab/>
      </w:r>
      <w:r w:rsidRPr="00FF7FF8">
        <w:rPr>
          <w:rFonts w:hAnsi="標楷體" w:hint="eastAsia"/>
        </w:rPr>
        <w:t>「第二級毒品緩起訴戒癮治療」之執行成效較佳；「第一級毒品緩起訴</w:t>
      </w:r>
      <w:r w:rsidR="00197C47" w:rsidRPr="00FF7FF8">
        <w:rPr>
          <w:rFonts w:hAnsi="標楷體" w:hint="eastAsia"/>
        </w:rPr>
        <w:t>戒癮</w:t>
      </w:r>
      <w:r w:rsidRPr="00FF7FF8">
        <w:rPr>
          <w:rFonts w:hAnsi="標楷體" w:hint="eastAsia"/>
        </w:rPr>
        <w:t>治療」再犯率高，個案篩選及執行方式值得省思與調整：</w:t>
      </w:r>
    </w:p>
    <w:p w:rsidR="00AC68AC" w:rsidRPr="00FF7FF8" w:rsidRDefault="00AC68AC" w:rsidP="00AC68AC">
      <w:pPr>
        <w:pStyle w:val="4"/>
        <w:numPr>
          <w:ilvl w:val="0"/>
          <w:numId w:val="0"/>
        </w:numPr>
        <w:ind w:left="1701"/>
        <w:rPr>
          <w:bCs/>
        </w:rPr>
      </w:pPr>
      <w:r w:rsidRPr="00FF7FF8">
        <w:rPr>
          <w:rFonts w:hAnsi="標楷體" w:hint="eastAsia"/>
        </w:rPr>
        <w:t xml:space="preserve">    以「再犯」進行緩起訴戒癮治療綜整評估，評估結果，「第二級毒品緩起訴戒癮治療」之執行成效較佳，參與者緩起訴前犯次為「初犯」之再犯率（</w:t>
      </w:r>
      <w:r w:rsidRPr="00FF7FF8">
        <w:rPr>
          <w:rFonts w:hAnsi="標楷體"/>
        </w:rPr>
        <w:t>36.2%)</w:t>
      </w:r>
      <w:r w:rsidRPr="00FF7FF8">
        <w:rPr>
          <w:rFonts w:hAnsi="標楷體" w:hint="eastAsia"/>
        </w:rPr>
        <w:t>，較「觀察勒戒無繼續施用傾向出所者」再犯率</w:t>
      </w:r>
      <w:r w:rsidRPr="00FF7FF8">
        <w:rPr>
          <w:rFonts w:hAnsi="標楷體"/>
        </w:rPr>
        <w:t>(42.0%)</w:t>
      </w:r>
      <w:r w:rsidRPr="00FF7FF8">
        <w:rPr>
          <w:rFonts w:hAnsi="標楷體" w:hint="eastAsia"/>
        </w:rPr>
        <w:t>低</w:t>
      </w:r>
      <w:r w:rsidRPr="00FF7FF8">
        <w:rPr>
          <w:rFonts w:hAnsi="標楷體"/>
        </w:rPr>
        <w:t>5.8</w:t>
      </w:r>
      <w:r w:rsidR="00293BDA" w:rsidRPr="00FF7FF8">
        <w:rPr>
          <w:rFonts w:hAnsi="標楷體" w:hint="eastAsia"/>
        </w:rPr>
        <w:t>個百分點；「5</w:t>
      </w:r>
      <w:r w:rsidRPr="00FF7FF8">
        <w:rPr>
          <w:rFonts w:hAnsi="標楷體" w:hint="eastAsia"/>
        </w:rPr>
        <w:t>年内再犯」者之再犯率（</w:t>
      </w:r>
      <w:r w:rsidRPr="00FF7FF8">
        <w:rPr>
          <w:rFonts w:hAnsi="標楷體"/>
        </w:rPr>
        <w:t>54.4%)</w:t>
      </w:r>
      <w:r w:rsidRPr="00FF7FF8">
        <w:rPr>
          <w:rFonts w:hAnsi="標楷體" w:hint="eastAsia"/>
        </w:rPr>
        <w:t>，則與「受戒治出所者」再犯率（</w:t>
      </w:r>
      <w:r w:rsidRPr="00FF7FF8">
        <w:rPr>
          <w:rFonts w:hAnsi="標楷體"/>
        </w:rPr>
        <w:t>54.7%)</w:t>
      </w:r>
      <w:r w:rsidRPr="00FF7FF8">
        <w:rPr>
          <w:rFonts w:hAnsi="標楷體" w:hint="eastAsia"/>
        </w:rPr>
        <w:t>相當，略可展現緩起訴戒癮治療成效。至於「第一級毒品緩起訴</w:t>
      </w:r>
      <w:r w:rsidR="00197C47" w:rsidRPr="00FF7FF8">
        <w:rPr>
          <w:rFonts w:hAnsi="標楷體" w:hint="eastAsia"/>
        </w:rPr>
        <w:t>戒癮</w:t>
      </w:r>
      <w:r w:rsidRPr="00FF7FF8">
        <w:rPr>
          <w:rFonts w:hAnsi="標楷體" w:hint="eastAsia"/>
        </w:rPr>
        <w:t>治療」參與者中，屬「5年内再犯」者之再犯率高達70.6%，且「初犯」者之再犯率（57.0%)亦高，個案篩選及執行方式值得省思與調整。</w:t>
      </w:r>
    </w:p>
    <w:p w:rsidR="0041288C" w:rsidRPr="00FF7FF8" w:rsidRDefault="0041288C" w:rsidP="005041DA">
      <w:pPr>
        <w:pStyle w:val="4"/>
        <w:rPr>
          <w:bCs/>
        </w:rPr>
      </w:pPr>
      <w:r w:rsidRPr="00FF7FF8">
        <w:rPr>
          <w:rFonts w:hint="eastAsia"/>
        </w:rPr>
        <w:lastRenderedPageBreak/>
        <w:t>由此足見，被告施用第一級毒品經附命完成戒癮治療之緩起訴處分之再犯率，高於其他處遇機制。</w:t>
      </w:r>
    </w:p>
    <w:p w:rsidR="00BA4BE3" w:rsidRPr="00FF7FF8" w:rsidRDefault="00BA4BE3" w:rsidP="005041DA">
      <w:pPr>
        <w:pStyle w:val="3"/>
      </w:pPr>
      <w:r w:rsidRPr="00FF7FF8">
        <w:rPr>
          <w:rFonts w:hint="eastAsia"/>
        </w:rPr>
        <w:t>何況，對於一再施用毒品之行為人，是否應撤銷緩起訴，依法務部查復，尚須承辦檢察官評估有無完成戒癮治療之可行性，而決定是否撤銷緩起訴處分，抑或對於再次施用毒品行為，給予緩起訴處分，凡此端賴檢察官對於此種附命完成戒癮治療緩起訴處分之處遇模式理解與評估，需徵詢觀護人、</w:t>
      </w:r>
      <w:r w:rsidR="00701628" w:rsidRPr="00FF7FF8">
        <w:rPr>
          <w:rFonts w:hint="eastAsia"/>
        </w:rPr>
        <w:t>醫療院、所</w:t>
      </w:r>
      <w:r w:rsidRPr="00FF7FF8">
        <w:rPr>
          <w:rFonts w:hint="eastAsia"/>
        </w:rPr>
        <w:t>及地方毒品防制中心意見，而涉及不同專業領域間相互配合，自須提升檢察官對毒品成癮性之醫療專業領域認知，進而作出最佳裁量決定，絕非僅止於</w:t>
      </w:r>
      <w:r w:rsidR="00D210DA" w:rsidRPr="00FF7FF8">
        <w:rPr>
          <w:rFonts w:hint="eastAsia"/>
        </w:rPr>
        <w:t>法務部政策或緩起訴比率</w:t>
      </w:r>
      <w:r w:rsidRPr="00FF7FF8">
        <w:rPr>
          <w:rFonts w:hint="eastAsia"/>
        </w:rPr>
        <w:t>績效指標</w:t>
      </w:r>
      <w:r w:rsidR="00D210DA" w:rsidRPr="00FF7FF8">
        <w:rPr>
          <w:rFonts w:hint="eastAsia"/>
        </w:rPr>
        <w:t>之</w:t>
      </w:r>
      <w:r w:rsidRPr="00FF7FF8">
        <w:rPr>
          <w:rFonts w:hint="eastAsia"/>
        </w:rPr>
        <w:t>考量。否則，即可能盲從於績效評核制度，進而違背緩起訴處分之制度目的。</w:t>
      </w:r>
    </w:p>
    <w:p w:rsidR="009A4C2A" w:rsidRPr="00FF7FF8" w:rsidRDefault="00BA4BE3" w:rsidP="009A4C2A">
      <w:pPr>
        <w:pStyle w:val="3"/>
      </w:pPr>
      <w:r w:rsidRPr="00FF7FF8">
        <w:rPr>
          <w:rFonts w:hint="eastAsia"/>
        </w:rPr>
        <w:t>綜上，</w:t>
      </w:r>
      <w:r w:rsidR="00EB2457" w:rsidRPr="00FF7FF8">
        <w:rPr>
          <w:rFonts w:hint="eastAsia"/>
        </w:rPr>
        <w:t>法務部為符合「新世代反毒策略」及「新世代反毒策略行動綱領」，逐年提升附命完成戒癮治療緩起訴處分之比率，而將施用第一、二級毒品之刑事犯罪行為，視為「病患型</w:t>
      </w:r>
      <w:r w:rsidR="009637A2" w:rsidRPr="00FF7FF8">
        <w:rPr>
          <w:rFonts w:hint="eastAsia"/>
        </w:rPr>
        <w:t>犯人」，透過緩起訴處分進行非刑罰手段之轉向處遇。然於政策推行過</w:t>
      </w:r>
      <w:r w:rsidR="00EB2457" w:rsidRPr="00FF7FF8">
        <w:rPr>
          <w:rFonts w:hint="eastAsia"/>
        </w:rPr>
        <w:t>程中，仍應重視施用毒品案件為緩起訴處分，其制度目的在於發揮個別預防功能，並鼓勵被告自新及復歸社會。依法務部查復可知，被告第1次施用毒品為緩起訴處分後，第2次施用毒品遭查獲，檢察官可不撤銷第1次緩起訴處分，且續對第2次施用毒品為緩起訴處分。此似可提升緩起訴處分比率，符合政策推展。然而，可能使被告多次施用毒品之行為，均得為緩起訴處分而獲邀排除刑罰或延遲進行之寬典，進而</w:t>
      </w:r>
      <w:r w:rsidR="002F63EF" w:rsidRPr="00FF7FF8">
        <w:rPr>
          <w:rFonts w:hint="eastAsia"/>
        </w:rPr>
        <w:t>可能</w:t>
      </w:r>
      <w:r w:rsidR="00EB2457" w:rsidRPr="00FF7FF8">
        <w:rPr>
          <w:rFonts w:hint="eastAsia"/>
        </w:rPr>
        <w:t>使檢察官忽略</w:t>
      </w:r>
      <w:r w:rsidR="002F63EF" w:rsidRPr="00FF7FF8">
        <w:rPr>
          <w:rFonts w:hint="eastAsia"/>
        </w:rPr>
        <w:t>擬用</w:t>
      </w:r>
      <w:r w:rsidR="00EB2457" w:rsidRPr="00FF7FF8">
        <w:rPr>
          <w:rFonts w:hint="eastAsia"/>
        </w:rPr>
        <w:t>緩起訴處分以外諸如觀</w:t>
      </w:r>
      <w:r w:rsidR="002F63EF" w:rsidRPr="00FF7FF8">
        <w:rPr>
          <w:rFonts w:hint="eastAsia"/>
        </w:rPr>
        <w:t>察勒戒、緩刑附命完成戒癮治療或入監</w:t>
      </w:r>
      <w:r w:rsidR="002F63EF" w:rsidRPr="00FF7FF8">
        <w:rPr>
          <w:rFonts w:hint="eastAsia"/>
        </w:rPr>
        <w:lastRenderedPageBreak/>
        <w:t>服刑等其他處遇機制。</w:t>
      </w:r>
      <w:r w:rsidR="00A65D42" w:rsidRPr="00FF7FF8">
        <w:rPr>
          <w:rFonts w:hint="eastAsia"/>
        </w:rPr>
        <w:t>另</w:t>
      </w:r>
      <w:r w:rsidR="00EB2457" w:rsidRPr="00FF7FF8">
        <w:rPr>
          <w:rFonts w:hint="eastAsia"/>
        </w:rPr>
        <w:t>有文獻指出，被告施用第一級毒品經附命完成戒癮治療之緩起訴處分之再犯率，高於其他處遇機制。此外，檢察官就撤銷緩起訴處分與否，未能與觀護人或醫療機構討論，評估機制有欠嚴謹，故倘檢察官採緩起訴處分與否，專以是否達成法務部政策績效為唯一考量，恐已違反緩起訴處分之制度目的，法務部實有檢討必要。</w:t>
      </w:r>
    </w:p>
    <w:p w:rsidR="00094348" w:rsidRPr="00FF7FF8" w:rsidRDefault="00883409" w:rsidP="00A7130E">
      <w:pPr>
        <w:pStyle w:val="2"/>
        <w:rPr>
          <w:b/>
        </w:rPr>
      </w:pPr>
      <w:r w:rsidRPr="00FF7FF8">
        <w:rPr>
          <w:rFonts w:hint="eastAsia"/>
          <w:b/>
        </w:rPr>
        <w:t>為配合法務部推行施用第一、二級毒品</w:t>
      </w:r>
      <w:r w:rsidR="008D222E" w:rsidRPr="00FF7FF8">
        <w:rPr>
          <w:rFonts w:hint="eastAsia"/>
          <w:b/>
        </w:rPr>
        <w:t>者，</w:t>
      </w:r>
      <w:r w:rsidR="009233DD" w:rsidRPr="00FF7FF8">
        <w:rPr>
          <w:rFonts w:hint="eastAsia"/>
          <w:b/>
        </w:rPr>
        <w:t>採行緩起訴</w:t>
      </w:r>
      <w:r w:rsidRPr="00FF7FF8">
        <w:rPr>
          <w:rFonts w:hint="eastAsia"/>
          <w:b/>
        </w:rPr>
        <w:t>政策</w:t>
      </w:r>
      <w:r w:rsidR="009233DD" w:rsidRPr="00FF7FF8">
        <w:rPr>
          <w:rFonts w:hint="eastAsia"/>
          <w:b/>
        </w:rPr>
        <w:t>之後</w:t>
      </w:r>
      <w:r w:rsidRPr="00FF7FF8">
        <w:rPr>
          <w:rFonts w:hint="eastAsia"/>
          <w:b/>
        </w:rPr>
        <w:t>，</w:t>
      </w:r>
      <w:r w:rsidR="009233DD" w:rsidRPr="00FF7FF8">
        <w:rPr>
          <w:rFonts w:hint="eastAsia"/>
          <w:b/>
        </w:rPr>
        <w:t>各</w:t>
      </w:r>
      <w:r w:rsidR="00177B02" w:rsidRPr="00FF7FF8">
        <w:rPr>
          <w:rFonts w:hint="eastAsia"/>
          <w:b/>
        </w:rPr>
        <w:t>地方檢察署競相</w:t>
      </w:r>
      <w:r w:rsidR="009233DD" w:rsidRPr="00FF7FF8">
        <w:rPr>
          <w:rFonts w:hint="eastAsia"/>
          <w:b/>
        </w:rPr>
        <w:t>評比，</w:t>
      </w:r>
      <w:r w:rsidR="00094348" w:rsidRPr="00FF7FF8">
        <w:rPr>
          <w:rFonts w:hint="eastAsia"/>
          <w:b/>
        </w:rPr>
        <w:t>新北地方檢察署</w:t>
      </w:r>
      <w:r w:rsidR="00177B02" w:rsidRPr="00FF7FF8">
        <w:rPr>
          <w:rFonts w:hint="eastAsia"/>
          <w:b/>
        </w:rPr>
        <w:t>為提高</w:t>
      </w:r>
      <w:r w:rsidR="00D9178E" w:rsidRPr="00FF7FF8">
        <w:rPr>
          <w:rFonts w:hint="eastAsia"/>
          <w:b/>
        </w:rPr>
        <w:t>成效，</w:t>
      </w:r>
      <w:r w:rsidR="00580A32" w:rsidRPr="00FF7FF8">
        <w:rPr>
          <w:rFonts w:hint="eastAsia"/>
          <w:b/>
        </w:rPr>
        <w:t>自</w:t>
      </w:r>
      <w:r w:rsidR="00094348" w:rsidRPr="00FF7FF8">
        <w:rPr>
          <w:rFonts w:hint="eastAsia"/>
          <w:b/>
        </w:rPr>
        <w:t>105年11</w:t>
      </w:r>
      <w:r w:rsidRPr="00FF7FF8">
        <w:rPr>
          <w:rFonts w:hint="eastAsia"/>
          <w:b/>
        </w:rPr>
        <w:t>月起採行毒品</w:t>
      </w:r>
      <w:r w:rsidR="008D222E" w:rsidRPr="00FF7FF8">
        <w:rPr>
          <w:rFonts w:hint="eastAsia"/>
          <w:b/>
        </w:rPr>
        <w:t>案件</w:t>
      </w:r>
      <w:r w:rsidRPr="00FF7FF8">
        <w:rPr>
          <w:rFonts w:hint="eastAsia"/>
          <w:b/>
        </w:rPr>
        <w:t>分流</w:t>
      </w:r>
      <w:r w:rsidR="008D222E" w:rsidRPr="00FF7FF8">
        <w:rPr>
          <w:rFonts w:hint="eastAsia"/>
          <w:b/>
        </w:rPr>
        <w:t>處理之</w:t>
      </w:r>
      <w:r w:rsidRPr="00FF7FF8">
        <w:rPr>
          <w:rFonts w:hint="eastAsia"/>
          <w:b/>
        </w:rPr>
        <w:t>機制</w:t>
      </w:r>
      <w:r w:rsidR="008D222E" w:rsidRPr="00FF7FF8">
        <w:rPr>
          <w:rFonts w:hint="eastAsia"/>
          <w:b/>
        </w:rPr>
        <w:t>，即有關施用毒品案件處理程序，均須經該署專股檢察官實體審核，由檢察官審核被告前科表是否適合為附命完成戒癮治療之緩起訴處分，</w:t>
      </w:r>
      <w:r w:rsidR="00177B02" w:rsidRPr="00FF7FF8">
        <w:rPr>
          <w:rFonts w:hint="eastAsia"/>
          <w:b/>
        </w:rPr>
        <w:t>再</w:t>
      </w:r>
      <w:r w:rsidR="008D222E" w:rsidRPr="00FF7FF8">
        <w:rPr>
          <w:rFonts w:hint="eastAsia"/>
          <w:b/>
        </w:rPr>
        <w:t>出具授權書</w:t>
      </w:r>
      <w:r w:rsidR="00177B02" w:rsidRPr="00FF7FF8">
        <w:rPr>
          <w:rFonts w:hint="eastAsia"/>
          <w:b/>
        </w:rPr>
        <w:t>，</w:t>
      </w:r>
      <w:r w:rsidR="008D222E" w:rsidRPr="00FF7FF8">
        <w:rPr>
          <w:rFonts w:hint="eastAsia"/>
          <w:b/>
        </w:rPr>
        <w:t>授權檢察事務官遵照緩起訴應履行事項詢問</w:t>
      </w:r>
      <w:r w:rsidR="00177B02" w:rsidRPr="00FF7FF8">
        <w:rPr>
          <w:rFonts w:hint="eastAsia"/>
          <w:b/>
        </w:rPr>
        <w:t>被告</w:t>
      </w:r>
      <w:r w:rsidR="008D222E" w:rsidRPr="00FF7FF8">
        <w:rPr>
          <w:rFonts w:hint="eastAsia"/>
          <w:b/>
        </w:rPr>
        <w:t>，</w:t>
      </w:r>
      <w:r w:rsidR="00177B02" w:rsidRPr="00FF7FF8">
        <w:rPr>
          <w:rFonts w:hint="eastAsia"/>
          <w:b/>
        </w:rPr>
        <w:t>嗣</w:t>
      </w:r>
      <w:r w:rsidR="008D222E" w:rsidRPr="00FF7FF8">
        <w:rPr>
          <w:rFonts w:hint="eastAsia"/>
          <w:b/>
        </w:rPr>
        <w:t>檢察事務官襄擬毒品案件卷證分析報告、書類、簽呈等，登載於辦案送閱簿，陳交檢察官及主任檢察官審核</w:t>
      </w:r>
      <w:r w:rsidR="00462A61" w:rsidRPr="00FF7FF8">
        <w:rPr>
          <w:rFonts w:hint="eastAsia"/>
          <w:b/>
        </w:rPr>
        <w:t>。</w:t>
      </w:r>
      <w:r w:rsidR="008D222E" w:rsidRPr="00FF7FF8">
        <w:rPr>
          <w:rFonts w:hint="eastAsia"/>
          <w:b/>
        </w:rPr>
        <w:t>惟運作上</w:t>
      </w:r>
      <w:r w:rsidR="00094348" w:rsidRPr="00FF7FF8">
        <w:rPr>
          <w:rFonts w:hint="eastAsia"/>
          <w:b/>
        </w:rPr>
        <w:t>竟</w:t>
      </w:r>
      <w:r w:rsidR="008A317E" w:rsidRPr="00FF7FF8">
        <w:rPr>
          <w:rFonts w:hint="eastAsia"/>
          <w:b/>
        </w:rPr>
        <w:t>發生個</w:t>
      </w:r>
      <w:r w:rsidR="00094348" w:rsidRPr="00FF7FF8">
        <w:rPr>
          <w:rFonts w:hint="eastAsia"/>
          <w:b/>
        </w:rPr>
        <w:t>案</w:t>
      </w:r>
      <w:r w:rsidR="00580A32" w:rsidRPr="00FF7FF8">
        <w:rPr>
          <w:rFonts w:hint="eastAsia"/>
          <w:b/>
        </w:rPr>
        <w:t>之</w:t>
      </w:r>
      <w:r w:rsidR="008A317E" w:rsidRPr="00FF7FF8">
        <w:rPr>
          <w:rFonts w:hint="eastAsia"/>
          <w:b/>
        </w:rPr>
        <w:t>承辦檢察官形成對被告聲請簡易判決處刑之</w:t>
      </w:r>
      <w:r w:rsidR="00580A32" w:rsidRPr="00FF7FF8">
        <w:rPr>
          <w:rFonts w:hint="eastAsia"/>
          <w:b/>
        </w:rPr>
        <w:t>心證</w:t>
      </w:r>
      <w:r w:rsidR="008A317E" w:rsidRPr="00FF7FF8">
        <w:rPr>
          <w:rFonts w:hint="eastAsia"/>
          <w:b/>
        </w:rPr>
        <w:t>後，</w:t>
      </w:r>
      <w:r w:rsidR="00094348" w:rsidRPr="00FF7FF8">
        <w:rPr>
          <w:rFonts w:hint="eastAsia"/>
          <w:b/>
        </w:rPr>
        <w:t>主任檢察官</w:t>
      </w:r>
      <w:r w:rsidR="00462A61" w:rsidRPr="00FF7FF8">
        <w:rPr>
          <w:rFonts w:hint="eastAsia"/>
          <w:b/>
        </w:rPr>
        <w:t>竟</w:t>
      </w:r>
      <w:r w:rsidR="00094348" w:rsidRPr="00FF7FF8">
        <w:rPr>
          <w:rFonts w:hint="eastAsia"/>
          <w:b/>
        </w:rPr>
        <w:t>透過檢察事務官要求</w:t>
      </w:r>
      <w:r w:rsidR="008A317E" w:rsidRPr="00FF7FF8">
        <w:rPr>
          <w:rFonts w:hint="eastAsia"/>
          <w:b/>
        </w:rPr>
        <w:t>該</w:t>
      </w:r>
      <w:r w:rsidR="00094348" w:rsidRPr="00FF7FF8">
        <w:rPr>
          <w:rFonts w:hint="eastAsia"/>
          <w:b/>
        </w:rPr>
        <w:t>承辦檢察官試擬緩起訴，</w:t>
      </w:r>
      <w:r w:rsidR="008A317E" w:rsidRPr="00FF7FF8">
        <w:rPr>
          <w:rFonts w:hint="eastAsia"/>
          <w:b/>
        </w:rPr>
        <w:t>顯</w:t>
      </w:r>
      <w:r w:rsidR="00094348" w:rsidRPr="00FF7FF8">
        <w:rPr>
          <w:rFonts w:hint="eastAsia"/>
          <w:b/>
        </w:rPr>
        <w:t>未尊重承辦檢察官之裁量權限，</w:t>
      </w:r>
      <w:r w:rsidRPr="00FF7FF8">
        <w:rPr>
          <w:rFonts w:hint="eastAsia"/>
          <w:b/>
        </w:rPr>
        <w:t>而</w:t>
      </w:r>
      <w:r w:rsidR="00094348" w:rsidRPr="00FF7FF8">
        <w:rPr>
          <w:rFonts w:hint="eastAsia"/>
          <w:b/>
        </w:rPr>
        <w:t>違反法院組織法、法官法等規定</w:t>
      </w:r>
      <w:r w:rsidRPr="00FF7FF8">
        <w:rPr>
          <w:rFonts w:hint="eastAsia"/>
          <w:b/>
        </w:rPr>
        <w:t>，</w:t>
      </w:r>
      <w:r w:rsidR="008A317E" w:rsidRPr="00FF7FF8">
        <w:rPr>
          <w:rFonts w:hint="eastAsia"/>
          <w:b/>
        </w:rPr>
        <w:t>僭越行使僅</w:t>
      </w:r>
      <w:r w:rsidR="00094348" w:rsidRPr="00FF7FF8">
        <w:rPr>
          <w:rFonts w:hint="eastAsia"/>
          <w:b/>
        </w:rPr>
        <w:t>檢察長</w:t>
      </w:r>
      <w:r w:rsidR="008A317E" w:rsidRPr="00FF7FF8">
        <w:rPr>
          <w:rFonts w:hint="eastAsia"/>
          <w:b/>
        </w:rPr>
        <w:t>始</w:t>
      </w:r>
      <w:r w:rsidR="00094348" w:rsidRPr="00FF7FF8">
        <w:rPr>
          <w:rFonts w:hint="eastAsia"/>
          <w:b/>
        </w:rPr>
        <w:t>有</w:t>
      </w:r>
      <w:r w:rsidR="008A317E" w:rsidRPr="00FF7FF8">
        <w:rPr>
          <w:rFonts w:hint="eastAsia"/>
          <w:b/>
        </w:rPr>
        <w:t>之職務承繼權及職務移轉權。</w:t>
      </w:r>
      <w:r w:rsidR="00580A32" w:rsidRPr="00FF7FF8">
        <w:rPr>
          <w:rFonts w:hint="eastAsia"/>
          <w:b/>
        </w:rPr>
        <w:t>雖</w:t>
      </w:r>
      <w:r w:rsidR="008A317E" w:rsidRPr="00FF7FF8">
        <w:rPr>
          <w:rFonts w:hint="eastAsia"/>
          <w:b/>
        </w:rPr>
        <w:t>該個案最終仍依承辦檢察官</w:t>
      </w:r>
      <w:r w:rsidR="00462A61" w:rsidRPr="00FF7FF8">
        <w:rPr>
          <w:rFonts w:hint="eastAsia"/>
          <w:b/>
        </w:rPr>
        <w:t>之</w:t>
      </w:r>
      <w:r w:rsidR="008A317E" w:rsidRPr="00FF7FF8">
        <w:rPr>
          <w:rFonts w:hint="eastAsia"/>
          <w:b/>
        </w:rPr>
        <w:t>決定，惟本案涉及檢察官</w:t>
      </w:r>
      <w:r w:rsidR="00462A61" w:rsidRPr="00FF7FF8">
        <w:rPr>
          <w:rFonts w:hint="eastAsia"/>
          <w:b/>
        </w:rPr>
        <w:t>偵查權之行使</w:t>
      </w:r>
      <w:r w:rsidR="008A317E" w:rsidRPr="00FF7FF8">
        <w:rPr>
          <w:rFonts w:hint="eastAsia"/>
          <w:b/>
        </w:rPr>
        <w:t>，</w:t>
      </w:r>
      <w:r w:rsidRPr="00FF7FF8">
        <w:rPr>
          <w:rFonts w:hint="eastAsia"/>
          <w:b/>
        </w:rPr>
        <w:t>與</w:t>
      </w:r>
      <w:r w:rsidR="00462A61" w:rsidRPr="00FF7FF8">
        <w:rPr>
          <w:rFonts w:hint="eastAsia"/>
          <w:b/>
        </w:rPr>
        <w:t>檢察一體原則下權力之節制，更關係</w:t>
      </w:r>
      <w:r w:rsidR="00177B02" w:rsidRPr="00FF7FF8">
        <w:rPr>
          <w:rFonts w:hint="eastAsia"/>
          <w:b/>
        </w:rPr>
        <w:t>到</w:t>
      </w:r>
      <w:r w:rsidR="008A317E" w:rsidRPr="00FF7FF8">
        <w:rPr>
          <w:rFonts w:hint="eastAsia"/>
          <w:b/>
        </w:rPr>
        <w:t>法律</w:t>
      </w:r>
      <w:r w:rsidR="00462A61" w:rsidRPr="00FF7FF8">
        <w:rPr>
          <w:rFonts w:hint="eastAsia"/>
          <w:b/>
        </w:rPr>
        <w:t>之</w:t>
      </w:r>
      <w:r w:rsidR="008A317E" w:rsidRPr="00FF7FF8">
        <w:rPr>
          <w:rFonts w:hint="eastAsia"/>
          <w:b/>
        </w:rPr>
        <w:t>正確適用</w:t>
      </w:r>
      <w:r w:rsidR="00462A61" w:rsidRPr="00FF7FF8">
        <w:rPr>
          <w:rFonts w:hint="eastAsia"/>
          <w:b/>
        </w:rPr>
        <w:t>，絕不能輕忽看待，</w:t>
      </w:r>
      <w:r w:rsidR="008A317E" w:rsidRPr="00FF7FF8">
        <w:rPr>
          <w:rFonts w:hint="eastAsia"/>
          <w:b/>
        </w:rPr>
        <w:t>法務部</w:t>
      </w:r>
      <w:r w:rsidR="00462A61" w:rsidRPr="00FF7FF8">
        <w:rPr>
          <w:rFonts w:hint="eastAsia"/>
          <w:b/>
        </w:rPr>
        <w:t>自應</w:t>
      </w:r>
      <w:r w:rsidR="008A317E" w:rsidRPr="00FF7FF8">
        <w:rPr>
          <w:rFonts w:hint="eastAsia"/>
          <w:b/>
        </w:rPr>
        <w:t>注意</w:t>
      </w:r>
      <w:r w:rsidR="00462A61" w:rsidRPr="00FF7FF8">
        <w:rPr>
          <w:rFonts w:hint="eastAsia"/>
          <w:b/>
        </w:rPr>
        <w:t>及之</w:t>
      </w:r>
      <w:r w:rsidR="008A317E" w:rsidRPr="00FF7FF8">
        <w:rPr>
          <w:rFonts w:hint="eastAsia"/>
          <w:b/>
        </w:rPr>
        <w:t>，新北地方檢察署</w:t>
      </w:r>
      <w:r w:rsidR="00462A61" w:rsidRPr="00FF7FF8">
        <w:rPr>
          <w:rFonts w:hint="eastAsia"/>
          <w:b/>
        </w:rPr>
        <w:t>更應</w:t>
      </w:r>
      <w:r w:rsidR="00094348" w:rsidRPr="00FF7FF8">
        <w:rPr>
          <w:rFonts w:hint="eastAsia"/>
          <w:b/>
        </w:rPr>
        <w:t>檢討改進。</w:t>
      </w:r>
    </w:p>
    <w:p w:rsidR="0098561C" w:rsidRPr="00FF7FF8" w:rsidRDefault="006068E5" w:rsidP="00EF7BF5">
      <w:pPr>
        <w:pStyle w:val="3"/>
      </w:pPr>
      <w:r w:rsidRPr="00FF7FF8">
        <w:rPr>
          <w:rFonts w:hint="eastAsia"/>
        </w:rPr>
        <w:t>配合法務部推行施用第一、二級毒品者，採行緩起訴政策，</w:t>
      </w:r>
      <w:r w:rsidR="0098561C" w:rsidRPr="00FF7FF8">
        <w:rPr>
          <w:rFonts w:hint="eastAsia"/>
        </w:rPr>
        <w:t>各地方檢察署辦理施用第一、二級毒品案件，附命完成戒癮治療之情形，</w:t>
      </w:r>
      <w:r w:rsidR="00EF7BF5" w:rsidRPr="00FF7FF8">
        <w:rPr>
          <w:rFonts w:hint="eastAsia"/>
        </w:rPr>
        <w:t>詳</w:t>
      </w:r>
      <w:r w:rsidR="0098561C" w:rsidRPr="00FF7FF8">
        <w:rPr>
          <w:rFonts w:hint="eastAsia"/>
        </w:rPr>
        <w:t>如</w:t>
      </w:r>
      <w:r w:rsidR="00EF7BF5" w:rsidRPr="00FF7FF8">
        <w:rPr>
          <w:rFonts w:hint="eastAsia"/>
        </w:rPr>
        <w:t>附</w:t>
      </w:r>
      <w:r w:rsidR="0098561C" w:rsidRPr="00FF7FF8">
        <w:rPr>
          <w:rFonts w:hint="eastAsia"/>
        </w:rPr>
        <w:t>表</w:t>
      </w:r>
      <w:r w:rsidR="00EF7BF5" w:rsidRPr="00FF7FF8">
        <w:rPr>
          <w:rFonts w:hint="eastAsia"/>
        </w:rPr>
        <w:t>1、2。</w:t>
      </w:r>
    </w:p>
    <w:p w:rsidR="00F95890" w:rsidRPr="00FF7FF8" w:rsidRDefault="00F95890" w:rsidP="00580A32">
      <w:pPr>
        <w:pStyle w:val="3"/>
      </w:pPr>
      <w:r w:rsidRPr="00FF7FF8">
        <w:rPr>
          <w:rFonts w:hint="eastAsia"/>
        </w:rPr>
        <w:t>施用毒品案件屬於例行性事務，得採行</w:t>
      </w:r>
      <w:r w:rsidR="000C2B87" w:rsidRPr="00FF7FF8">
        <w:rPr>
          <w:rFonts w:hint="eastAsia"/>
        </w:rPr>
        <w:t>案件</w:t>
      </w:r>
      <w:r w:rsidRPr="00FF7FF8">
        <w:rPr>
          <w:rFonts w:hint="eastAsia"/>
        </w:rPr>
        <w:t>「分流」</w:t>
      </w:r>
      <w:r w:rsidRPr="00FF7FF8">
        <w:rPr>
          <w:rFonts w:hint="eastAsia"/>
        </w:rPr>
        <w:lastRenderedPageBreak/>
        <w:t>制度，即於分案之初，即</w:t>
      </w:r>
      <w:r w:rsidR="00580A32" w:rsidRPr="00FF7FF8">
        <w:rPr>
          <w:rFonts w:hint="eastAsia"/>
        </w:rPr>
        <w:t>依「地方法院檢察署檢察事務官事務分配要點」第4點第5款規定，</w:t>
      </w:r>
      <w:r w:rsidRPr="00FF7FF8">
        <w:rPr>
          <w:rFonts w:hint="eastAsia"/>
        </w:rPr>
        <w:t>經檢察長指定由主任檢察官、專股檢察官指揮檢察事務官襄助處理之案件</w:t>
      </w:r>
      <w:r w:rsidR="00580A32" w:rsidRPr="00FF7FF8">
        <w:rPr>
          <w:rFonts w:hint="eastAsia"/>
        </w:rPr>
        <w:t>。此外，</w:t>
      </w:r>
      <w:r w:rsidR="00A8168A" w:rsidRPr="00FF7FF8">
        <w:rPr>
          <w:rFonts w:hint="eastAsia"/>
        </w:rPr>
        <w:t>新北地方檢察署</w:t>
      </w:r>
      <w:r w:rsidRPr="00FF7FF8">
        <w:rPr>
          <w:rFonts w:hint="eastAsia"/>
        </w:rPr>
        <w:t>自105年11月1日</w:t>
      </w:r>
      <w:r w:rsidR="00580A32" w:rsidRPr="00FF7FF8">
        <w:rPr>
          <w:rFonts w:hint="eastAsia"/>
        </w:rPr>
        <w:t>起，</w:t>
      </w:r>
      <w:r w:rsidRPr="00FF7FF8">
        <w:rPr>
          <w:rFonts w:hint="eastAsia"/>
        </w:rPr>
        <w:t>開始實施施用毒品案件分流制度：</w:t>
      </w:r>
    </w:p>
    <w:p w:rsidR="00F95890" w:rsidRPr="00FF7FF8" w:rsidRDefault="00F95890" w:rsidP="00F95890">
      <w:pPr>
        <w:pStyle w:val="4"/>
      </w:pPr>
      <w:r w:rsidRPr="00FF7FF8">
        <w:rPr>
          <w:rFonts w:hint="eastAsia"/>
        </w:rPr>
        <w:t>按「地方法院檢察署檢察事務官事務分配要點」第4點第5款規定：「檢察官得指揮檢察事務官處理下列事務：……(五)例行性事務檢察長得指定主任檢察官、專股檢察官指揮檢察事務官襄助處理下列案件：1.被告姓名不詳或犯罪事實不具體之他案。2.核交、交查案件。3.犯罪被害人保護法相關案件。4.施用毒品案件。5.假性財產犯罪案件。6.案情簡易之特定案件。7.其他經檢察長指定之案件。」其中第4目規定施用毒品案件，屬於例行性事務，得採行</w:t>
      </w:r>
      <w:r w:rsidR="000C2B87" w:rsidRPr="00FF7FF8">
        <w:rPr>
          <w:rFonts w:hint="eastAsia"/>
        </w:rPr>
        <w:t>實務上所稱案件</w:t>
      </w:r>
      <w:r w:rsidR="00C575CF" w:rsidRPr="00FF7FF8">
        <w:rPr>
          <w:rFonts w:hint="eastAsia"/>
        </w:rPr>
        <w:t>「</w:t>
      </w:r>
      <w:r w:rsidRPr="00FF7FF8">
        <w:rPr>
          <w:rFonts w:hint="eastAsia"/>
        </w:rPr>
        <w:t>分流」制度，即於分案之初，經檢察長指定由主任檢察官、專股檢察官指揮檢察事務官襄助處理之案件。</w:t>
      </w:r>
    </w:p>
    <w:p w:rsidR="00E961E8" w:rsidRPr="00FF7FF8" w:rsidRDefault="00F95890" w:rsidP="00F95890">
      <w:pPr>
        <w:pStyle w:val="4"/>
      </w:pPr>
      <w:r w:rsidRPr="00FF7FF8">
        <w:rPr>
          <w:rFonts w:hint="eastAsia"/>
        </w:rPr>
        <w:t>依法務部查復，新北地方檢察署自105年11月1日起</w:t>
      </w:r>
      <w:r w:rsidR="00580A32" w:rsidRPr="00FF7FF8">
        <w:rPr>
          <w:rFonts w:hint="eastAsia"/>
        </w:rPr>
        <w:t>，</w:t>
      </w:r>
      <w:r w:rsidRPr="00FF7FF8">
        <w:rPr>
          <w:rFonts w:hint="eastAsia"/>
        </w:rPr>
        <w:t>實施施用毒品案件分流制度，於實施前由主任檢察官、檢察官研議施用毒品處理程序及實施方法，並經該署檢察官會議決議通過後施行。有關施用毒品案件處理程序，均須經該署專股檢察官實體審核，如聲請觀察勒戒、強制戒治、執行觀察勒戒（由檢察官傳喚親自訊問送執行勒戒，調查是否有不適合入所執行觀察勒戒之情事）；而就附命</w:t>
      </w:r>
      <w:r w:rsidR="00580A32" w:rsidRPr="00FF7FF8">
        <w:rPr>
          <w:rFonts w:hint="eastAsia"/>
        </w:rPr>
        <w:t>完成</w:t>
      </w:r>
      <w:r w:rsidRPr="00FF7FF8">
        <w:rPr>
          <w:rFonts w:hint="eastAsia"/>
        </w:rPr>
        <w:t>戒癮治療</w:t>
      </w:r>
      <w:r w:rsidR="00580A32" w:rsidRPr="00FF7FF8">
        <w:rPr>
          <w:rFonts w:hint="eastAsia"/>
        </w:rPr>
        <w:t>之</w:t>
      </w:r>
      <w:r w:rsidRPr="00FF7FF8">
        <w:rPr>
          <w:rFonts w:hint="eastAsia"/>
        </w:rPr>
        <w:t>緩起訴處分，由檢察官審核被告前科表是否適合為附命完成戒癮治療之緩起訴處分，出具授權書授權檢察事務官遵照緩起訴應履行事項詢問。若被告於緩起訴期間有</w:t>
      </w:r>
      <w:r w:rsidRPr="00FF7FF8">
        <w:rPr>
          <w:rFonts w:hint="eastAsia"/>
        </w:rPr>
        <w:lastRenderedPageBreak/>
        <w:t>撤銷緩起訴處分之情事，由檢察官依職權決定是否撤銷緩起訴處分。此外，檢察事務官襄擬毒品案件卷證分析報告、書類、簽呈等，登載於辦案送閱簿，陳交檢察官及主任檢察官審核。</w:t>
      </w:r>
    </w:p>
    <w:p w:rsidR="00280F87" w:rsidRPr="00FF7FF8" w:rsidRDefault="002A7329" w:rsidP="00280F87">
      <w:pPr>
        <w:pStyle w:val="3"/>
      </w:pPr>
      <w:r w:rsidRPr="00FF7FF8">
        <w:rPr>
          <w:rFonts w:hint="eastAsia"/>
        </w:rPr>
        <w:t>有關</w:t>
      </w:r>
      <w:r w:rsidR="00462A61" w:rsidRPr="00FF7FF8">
        <w:rPr>
          <w:rFonts w:hint="eastAsia"/>
        </w:rPr>
        <w:t>各</w:t>
      </w:r>
      <w:r w:rsidR="007308A4" w:rsidRPr="00FF7FF8">
        <w:rPr>
          <w:rFonts w:hAnsi="標楷體" w:hint="eastAsia"/>
        </w:rPr>
        <w:t>地方檢察署</w:t>
      </w:r>
      <w:r w:rsidR="00462A61" w:rsidRPr="00FF7FF8">
        <w:rPr>
          <w:rFonts w:hint="eastAsia"/>
        </w:rPr>
        <w:t>將受理案件分出「</w:t>
      </w:r>
      <w:r w:rsidRPr="00FF7FF8">
        <w:rPr>
          <w:rFonts w:hint="eastAsia"/>
        </w:rPr>
        <w:t>例行性事務</w:t>
      </w:r>
      <w:r w:rsidR="00462A61" w:rsidRPr="00FF7FF8">
        <w:rPr>
          <w:rFonts w:hint="eastAsia"/>
        </w:rPr>
        <w:t>」</w:t>
      </w:r>
      <w:r w:rsidR="00580A32" w:rsidRPr="00FF7FF8">
        <w:rPr>
          <w:rFonts w:hint="eastAsia"/>
        </w:rPr>
        <w:t>所衍生</w:t>
      </w:r>
      <w:r w:rsidR="00F3587A" w:rsidRPr="00FF7FF8">
        <w:rPr>
          <w:rFonts w:hint="eastAsia"/>
        </w:rPr>
        <w:t>問題</w:t>
      </w:r>
      <w:r w:rsidRPr="00FF7FF8">
        <w:rPr>
          <w:rFonts w:hint="eastAsia"/>
        </w:rPr>
        <w:t>，本院於【106司調0005】調查報告中</w:t>
      </w:r>
      <w:r w:rsidR="00580A32" w:rsidRPr="00FF7FF8">
        <w:rPr>
          <w:rFonts w:hint="eastAsia"/>
        </w:rPr>
        <w:t>曾經</w:t>
      </w:r>
      <w:r w:rsidRPr="00FF7FF8">
        <w:rPr>
          <w:rFonts w:hint="eastAsia"/>
        </w:rPr>
        <w:t>論究。然將施用毒品案件作為「例行性事務」，</w:t>
      </w:r>
      <w:r w:rsidR="00580A32" w:rsidRPr="00FF7FF8">
        <w:rPr>
          <w:rFonts w:hint="eastAsia"/>
        </w:rPr>
        <w:t>即本案</w:t>
      </w:r>
      <w:r w:rsidR="00280F87" w:rsidRPr="00FF7FF8">
        <w:rPr>
          <w:rFonts w:hint="eastAsia"/>
        </w:rPr>
        <w:t>新北地</w:t>
      </w:r>
      <w:r w:rsidRPr="00FF7FF8">
        <w:rPr>
          <w:rFonts w:hint="eastAsia"/>
        </w:rPr>
        <w:t>方</w:t>
      </w:r>
      <w:r w:rsidR="00280F87" w:rsidRPr="00FF7FF8">
        <w:rPr>
          <w:rFonts w:hint="eastAsia"/>
        </w:rPr>
        <w:t>檢</w:t>
      </w:r>
      <w:r w:rsidRPr="00FF7FF8">
        <w:rPr>
          <w:rFonts w:hint="eastAsia"/>
        </w:rPr>
        <w:t>察</w:t>
      </w:r>
      <w:r w:rsidR="00280F87" w:rsidRPr="00FF7FF8">
        <w:rPr>
          <w:rFonts w:hint="eastAsia"/>
        </w:rPr>
        <w:t>署</w:t>
      </w:r>
      <w:r w:rsidRPr="00FF7FF8">
        <w:rPr>
          <w:rFonts w:hint="eastAsia"/>
        </w:rPr>
        <w:t>透過</w:t>
      </w:r>
      <w:r w:rsidR="00580A32" w:rsidRPr="00FF7FF8">
        <w:rPr>
          <w:rFonts w:hint="eastAsia"/>
        </w:rPr>
        <w:t>施用毒品之</w:t>
      </w:r>
      <w:r w:rsidRPr="00FF7FF8">
        <w:rPr>
          <w:rFonts w:hint="eastAsia"/>
        </w:rPr>
        <w:t>案件分流制度，使</w:t>
      </w:r>
      <w:r w:rsidR="00280F87" w:rsidRPr="00FF7FF8">
        <w:rPr>
          <w:rFonts w:hint="eastAsia"/>
        </w:rPr>
        <w:t>少數檢察官</w:t>
      </w:r>
      <w:r w:rsidRPr="00FF7FF8">
        <w:rPr>
          <w:rFonts w:hint="eastAsia"/>
        </w:rPr>
        <w:t>、檢察事務官</w:t>
      </w:r>
      <w:r w:rsidR="00280F87" w:rsidRPr="00FF7FF8">
        <w:rPr>
          <w:rFonts w:hint="eastAsia"/>
        </w:rPr>
        <w:t>處理</w:t>
      </w:r>
      <w:r w:rsidRPr="00FF7FF8">
        <w:rPr>
          <w:rFonts w:hint="eastAsia"/>
        </w:rPr>
        <w:t>所有</w:t>
      </w:r>
      <w:r w:rsidR="00FD1353" w:rsidRPr="00FF7FF8">
        <w:rPr>
          <w:rFonts w:hint="eastAsia"/>
        </w:rPr>
        <w:t>施</w:t>
      </w:r>
      <w:r w:rsidRPr="00FF7FF8">
        <w:rPr>
          <w:rFonts w:hint="eastAsia"/>
        </w:rPr>
        <w:t>用毒品之</w:t>
      </w:r>
      <w:r w:rsidR="00280F87" w:rsidRPr="00FF7FF8">
        <w:rPr>
          <w:rFonts w:hint="eastAsia"/>
        </w:rPr>
        <w:t>案件，</w:t>
      </w:r>
      <w:r w:rsidR="00405F47" w:rsidRPr="00FF7FF8">
        <w:rPr>
          <w:rFonts w:hint="eastAsia"/>
        </w:rPr>
        <w:t>引發</w:t>
      </w:r>
      <w:r w:rsidRPr="00FF7FF8">
        <w:rPr>
          <w:rFonts w:hint="eastAsia"/>
        </w:rPr>
        <w:t>該署</w:t>
      </w:r>
      <w:r w:rsidR="00405F47" w:rsidRPr="00FF7FF8">
        <w:rPr>
          <w:rFonts w:hint="eastAsia"/>
        </w:rPr>
        <w:t>承辦檢察官質疑</w:t>
      </w:r>
      <w:r w:rsidRPr="00FF7FF8">
        <w:rPr>
          <w:rFonts w:hint="eastAsia"/>
        </w:rPr>
        <w:t>：</w:t>
      </w:r>
    </w:p>
    <w:p w:rsidR="00B65E13" w:rsidRPr="00FF7FF8" w:rsidRDefault="00280F87" w:rsidP="00280F87">
      <w:pPr>
        <w:pStyle w:val="4"/>
      </w:pPr>
      <w:r w:rsidRPr="00FF7FF8">
        <w:rPr>
          <w:rFonts w:hint="eastAsia"/>
        </w:rPr>
        <w:t>就「地方法院檢察署檢察事務官事務分配要點」第4點第5款所稱「例行性事務」，本院前於【106司調0005</w:t>
      </w:r>
      <w:r w:rsidR="00580A32" w:rsidRPr="00FF7FF8">
        <w:rPr>
          <w:rFonts w:hint="eastAsia"/>
        </w:rPr>
        <w:t>】有關前檢察官徐仕瑋辦案違失之調查案中，</w:t>
      </w:r>
      <w:r w:rsidRPr="00FF7FF8">
        <w:rPr>
          <w:rFonts w:hint="eastAsia"/>
        </w:rPr>
        <w:t>即指出該要點第5款「例行性事務」內涵，係委由各</w:t>
      </w:r>
      <w:r w:rsidR="007308A4" w:rsidRPr="00FF7FF8">
        <w:rPr>
          <w:rFonts w:hAnsi="標楷體" w:hint="eastAsia"/>
        </w:rPr>
        <w:t>地方檢察署</w:t>
      </w:r>
      <w:r w:rsidRPr="00FF7FF8">
        <w:rPr>
          <w:rFonts w:hint="eastAsia"/>
        </w:rPr>
        <w:t>因地制宜訂定事務類型，形同將偵查中某特定類型案件，明定容許檢察事務官實施偵查、提起公訴等作為……，實質造成檢察官只剩下蓋章功能。上述情事均與法院組織法設置檢察事務官制度目的有違，核有嚴重違失，並對法務部提出糾正</w:t>
      </w:r>
      <w:r w:rsidR="00177B02" w:rsidRPr="00FF7FF8">
        <w:rPr>
          <w:rFonts w:hint="eastAsia"/>
        </w:rPr>
        <w:t>在案</w:t>
      </w:r>
      <w:r w:rsidRPr="00FF7FF8">
        <w:rPr>
          <w:rFonts w:hint="eastAsia"/>
        </w:rPr>
        <w:t>。</w:t>
      </w:r>
    </w:p>
    <w:p w:rsidR="00280F87" w:rsidRPr="00FF7FF8" w:rsidRDefault="00280F87" w:rsidP="00280F87">
      <w:pPr>
        <w:pStyle w:val="4"/>
      </w:pPr>
      <w:r w:rsidRPr="00FF7FF8">
        <w:rPr>
          <w:rFonts w:hint="eastAsia"/>
        </w:rPr>
        <w:t>嗣</w:t>
      </w:r>
      <w:r w:rsidR="00405F47" w:rsidRPr="00FF7FF8">
        <w:rPr>
          <w:rFonts w:hint="eastAsia"/>
        </w:rPr>
        <w:t>本院於106年8月28日</w:t>
      </w:r>
      <w:r w:rsidR="00115643" w:rsidRPr="00FF7FF8">
        <w:rPr>
          <w:rFonts w:hint="eastAsia"/>
        </w:rPr>
        <w:t>，</w:t>
      </w:r>
      <w:r w:rsidR="00405F47" w:rsidRPr="00FF7FF8">
        <w:rPr>
          <w:rFonts w:hint="eastAsia"/>
        </w:rPr>
        <w:t>邀請處理施用毒品分流案件之</w:t>
      </w:r>
      <w:r w:rsidRPr="00FF7FF8">
        <w:rPr>
          <w:rFonts w:hint="eastAsia"/>
        </w:rPr>
        <w:t>新北地方檢察署</w:t>
      </w:r>
      <w:r w:rsidR="00580A32" w:rsidRPr="00FF7FF8">
        <w:rPr>
          <w:rFonts w:hint="eastAsia"/>
        </w:rPr>
        <w:t>專股</w:t>
      </w:r>
      <w:r w:rsidR="00405F47" w:rsidRPr="00FF7FF8">
        <w:rPr>
          <w:rFonts w:hint="eastAsia"/>
        </w:rPr>
        <w:t>檢察官說明辦案情形，其說明略以：</w:t>
      </w:r>
    </w:p>
    <w:p w:rsidR="00405F47" w:rsidRPr="00FF7FF8" w:rsidRDefault="00E4407D" w:rsidP="00405F47">
      <w:pPr>
        <w:pStyle w:val="5"/>
      </w:pPr>
      <w:r w:rsidRPr="00FF7FF8">
        <w:rPr>
          <w:rFonts w:hint="eastAsia"/>
        </w:rPr>
        <w:t>該署106年1至6月毒偵案件總計收案5</w:t>
      </w:r>
      <w:r w:rsidR="00637FE0" w:rsidRPr="00FF7FF8">
        <w:rPr>
          <w:rFonts w:hint="eastAsia"/>
        </w:rPr>
        <w:t>,</w:t>
      </w:r>
      <w:r w:rsidRPr="00FF7FF8">
        <w:rPr>
          <w:rFonts w:hint="eastAsia"/>
        </w:rPr>
        <w:t>652件，集中交3股檢察官辦理，平均每月每股檢察官收受「毒偵」</w:t>
      </w:r>
      <w:r w:rsidRPr="00FF7FF8">
        <w:rPr>
          <w:rStyle w:val="afc"/>
        </w:rPr>
        <w:footnoteReference w:id="13"/>
      </w:r>
      <w:r w:rsidRPr="00FF7FF8">
        <w:rPr>
          <w:rFonts w:hint="eastAsia"/>
        </w:rPr>
        <w:t>案件數為314件，再加上輪分一般案件三分之一，數量約27件，因此每股每</w:t>
      </w:r>
      <w:r w:rsidRPr="00FF7FF8">
        <w:rPr>
          <w:rFonts w:hint="eastAsia"/>
        </w:rPr>
        <w:lastRenderedPageBreak/>
        <w:t>月偵辦之案件數約為340件，收案量為一般偵查股之4</w:t>
      </w:r>
      <w:r w:rsidR="00115643" w:rsidRPr="00FF7FF8">
        <w:rPr>
          <w:rFonts w:hint="eastAsia"/>
        </w:rPr>
        <w:t>倍</w:t>
      </w:r>
      <w:r w:rsidRPr="00FF7FF8">
        <w:rPr>
          <w:rFonts w:hint="eastAsia"/>
        </w:rPr>
        <w:t>有餘。</w:t>
      </w:r>
      <w:r w:rsidR="00115643" w:rsidRPr="00FF7FF8">
        <w:rPr>
          <w:rFonts w:hint="eastAsia"/>
        </w:rPr>
        <w:t>因分流案件眾多，故該等分流案件幾全由檢察事務官開庭、詢問、調查，</w:t>
      </w:r>
      <w:r w:rsidR="00462A61" w:rsidRPr="00FF7FF8">
        <w:rPr>
          <w:rFonts w:hint="eastAsia"/>
        </w:rPr>
        <w:t>至於所謂專股</w:t>
      </w:r>
      <w:r w:rsidR="00115643" w:rsidRPr="00FF7FF8">
        <w:rPr>
          <w:rFonts w:hint="eastAsia"/>
        </w:rPr>
        <w:t>主任檢察官、檢察官因案件</w:t>
      </w:r>
      <w:r w:rsidR="00462A61" w:rsidRPr="00FF7FF8">
        <w:rPr>
          <w:rFonts w:hint="eastAsia"/>
        </w:rPr>
        <w:t>量大</w:t>
      </w:r>
      <w:r w:rsidR="00115643" w:rsidRPr="00FF7FF8">
        <w:rPr>
          <w:rFonts w:hint="eastAsia"/>
        </w:rPr>
        <w:t>，大抵僅能書面審核，</w:t>
      </w:r>
      <w:r w:rsidR="00462A61" w:rsidRPr="00FF7FF8">
        <w:rPr>
          <w:rFonts w:hint="eastAsia"/>
        </w:rPr>
        <w:t>導致</w:t>
      </w:r>
      <w:r w:rsidR="00115643" w:rsidRPr="00FF7FF8">
        <w:rPr>
          <w:rFonts w:hint="eastAsia"/>
        </w:rPr>
        <w:t>偵查主體實施偵查</w:t>
      </w:r>
      <w:r w:rsidR="00462A61" w:rsidRPr="00FF7FF8">
        <w:rPr>
          <w:rFonts w:hint="eastAsia"/>
        </w:rPr>
        <w:t>的能量，嚴重</w:t>
      </w:r>
      <w:r w:rsidR="00115643" w:rsidRPr="00FF7FF8">
        <w:rPr>
          <w:rFonts w:hint="eastAsia"/>
        </w:rPr>
        <w:t>空洞化。</w:t>
      </w:r>
    </w:p>
    <w:p w:rsidR="00115643" w:rsidRPr="00FF7FF8" w:rsidRDefault="00115643" w:rsidP="00405F47">
      <w:pPr>
        <w:pStyle w:val="5"/>
      </w:pPr>
      <w:r w:rsidRPr="00FF7FF8">
        <w:rPr>
          <w:rFonts w:hint="eastAsia"/>
        </w:rPr>
        <w:t>分流制度造成該署檢察事務官沈重辦案壓力，檢察事務官平均未結案件激增，嚴重影響偵查效能及人民之訴訟權，</w:t>
      </w:r>
      <w:r w:rsidR="00462A61" w:rsidRPr="00FF7FF8">
        <w:rPr>
          <w:rFonts w:hint="eastAsia"/>
        </w:rPr>
        <w:t>據述</w:t>
      </w:r>
      <w:r w:rsidRPr="00FF7FF8">
        <w:rPr>
          <w:rFonts w:hint="eastAsia"/>
        </w:rPr>
        <w:t>自實施分流以來，計已有2名檢察事務官退休、自願離職2名、留職停薪5名，所造成影響可見一斑。</w:t>
      </w:r>
    </w:p>
    <w:p w:rsidR="002A7329" w:rsidRPr="00FF7FF8" w:rsidRDefault="002A7329" w:rsidP="002A7329">
      <w:pPr>
        <w:pStyle w:val="5"/>
      </w:pPr>
      <w:r w:rsidRPr="00FF7FF8">
        <w:rPr>
          <w:rFonts w:hint="eastAsia"/>
        </w:rPr>
        <w:t>依該署政策，施用毒品案件分案是由分案室決定，並非檢察官決定，在檢察官還沒看見案件之前，即分給</w:t>
      </w:r>
      <w:r w:rsidR="00FD1353" w:rsidRPr="00FF7FF8">
        <w:rPr>
          <w:rFonts w:hint="eastAsia"/>
        </w:rPr>
        <w:t>檢察</w:t>
      </w:r>
      <w:r w:rsidRPr="00FF7FF8">
        <w:rPr>
          <w:rFonts w:hint="eastAsia"/>
        </w:rPr>
        <w:t>事務官，這是不合理的。</w:t>
      </w:r>
    </w:p>
    <w:p w:rsidR="002A7329" w:rsidRPr="00FF7FF8" w:rsidRDefault="002A7329" w:rsidP="002A7329">
      <w:pPr>
        <w:pStyle w:val="5"/>
      </w:pPr>
      <w:r w:rsidRPr="00FF7FF8">
        <w:rPr>
          <w:rFonts w:hint="eastAsia"/>
        </w:rPr>
        <w:t>106年6月該署</w:t>
      </w:r>
      <w:r w:rsidR="00A7130E" w:rsidRPr="00FF7FF8">
        <w:rPr>
          <w:rFonts w:hint="eastAsia"/>
        </w:rPr>
        <w:t>之</w:t>
      </w:r>
      <w:r w:rsidRPr="00FF7FF8">
        <w:rPr>
          <w:rFonts w:hint="eastAsia"/>
        </w:rPr>
        <w:t>前積案達上千件，最後處理方式是動員全署書記官幫忙，結清後繼續積案，106年3股增加為6股，增加2倍人力，可見原本設計粗糙、不當。網路流傳，分流是為減輕檢察官負擔，對我個人而言，也許有，可是我辦分流，檢察官不會閉眼蓋章，個人認為</w:t>
      </w:r>
      <w:r w:rsidR="00ED77CD" w:rsidRPr="00FF7FF8">
        <w:rPr>
          <w:rFonts w:hint="eastAsia"/>
        </w:rPr>
        <w:t>，</w:t>
      </w:r>
      <w:r w:rsidRPr="00FF7FF8">
        <w:rPr>
          <w:rFonts w:hint="eastAsia"/>
        </w:rPr>
        <w:t>分流僅為毒品戒癮治療、政治績效，有辦</w:t>
      </w:r>
      <w:r w:rsidR="002406CB" w:rsidRPr="00FF7FF8">
        <w:rPr>
          <w:rFonts w:hint="eastAsia"/>
        </w:rPr>
        <w:t>理</w:t>
      </w:r>
      <w:r w:rsidRPr="00FF7FF8">
        <w:rPr>
          <w:rFonts w:hint="eastAsia"/>
        </w:rPr>
        <w:t>分流的</w:t>
      </w:r>
      <w:r w:rsidR="007308A4" w:rsidRPr="00FF7FF8">
        <w:rPr>
          <w:rFonts w:hAnsi="標楷體" w:hint="eastAsia"/>
        </w:rPr>
        <w:t>地方檢察署</w:t>
      </w:r>
      <w:r w:rsidRPr="00FF7FF8">
        <w:rPr>
          <w:rFonts w:hint="eastAsia"/>
        </w:rPr>
        <w:t>，戒癮治療的績效較好，法務部有要求戒癮治療的比</w:t>
      </w:r>
      <w:r w:rsidR="002406CB" w:rsidRPr="00FF7FF8">
        <w:rPr>
          <w:rFonts w:hint="eastAsia"/>
        </w:rPr>
        <w:t>率</w:t>
      </w:r>
      <w:r w:rsidRPr="00FF7FF8">
        <w:rPr>
          <w:rFonts w:hint="eastAsia"/>
        </w:rPr>
        <w:t>、要求緩起訴績效，</w:t>
      </w:r>
      <w:r w:rsidR="002406CB" w:rsidRPr="00FF7FF8">
        <w:rPr>
          <w:rFonts w:hint="eastAsia"/>
        </w:rPr>
        <w:t>故</w:t>
      </w:r>
      <w:r w:rsidRPr="00FF7FF8">
        <w:rPr>
          <w:rFonts w:hint="eastAsia"/>
        </w:rPr>
        <w:t>成立機動組(臨時編制)辦理分流。</w:t>
      </w:r>
    </w:p>
    <w:p w:rsidR="00637FE0" w:rsidRPr="00FF7FF8" w:rsidRDefault="00250E81" w:rsidP="00637FE0">
      <w:pPr>
        <w:pStyle w:val="4"/>
      </w:pPr>
      <w:r w:rsidRPr="00FF7FF8">
        <w:rPr>
          <w:rFonts w:hint="eastAsia"/>
        </w:rPr>
        <w:t>上開情形，於106年6月22日「靠北書記官」</w:t>
      </w:r>
      <w:r w:rsidR="003546AA" w:rsidRPr="00FF7FF8">
        <w:rPr>
          <w:rFonts w:hint="eastAsia"/>
        </w:rPr>
        <w:t>之</w:t>
      </w:r>
      <w:r w:rsidRPr="00FF7FF8">
        <w:rPr>
          <w:rFonts w:hint="eastAsia"/>
        </w:rPr>
        <w:t>臉書社團，亦有</w:t>
      </w:r>
      <w:r w:rsidR="003546AA" w:rsidRPr="00FF7FF8">
        <w:rPr>
          <w:rFonts w:hint="eastAsia"/>
        </w:rPr>
        <w:t>人</w:t>
      </w:r>
      <w:r w:rsidRPr="00FF7FF8">
        <w:rPr>
          <w:rFonts w:hint="eastAsia"/>
        </w:rPr>
        <w:t>張貼相關評論，</w:t>
      </w:r>
      <w:r w:rsidR="003546AA" w:rsidRPr="00FF7FF8">
        <w:rPr>
          <w:rFonts w:hint="eastAsia"/>
        </w:rPr>
        <w:t>顯見該署基層人員多有不滿</w:t>
      </w:r>
      <w:r w:rsidRPr="00FF7FF8">
        <w:rPr>
          <w:rStyle w:val="afc"/>
        </w:rPr>
        <w:footnoteReference w:id="14"/>
      </w:r>
      <w:r w:rsidRPr="00FF7FF8">
        <w:rPr>
          <w:rFonts w:hint="eastAsia"/>
        </w:rPr>
        <w:t>。</w:t>
      </w:r>
    </w:p>
    <w:p w:rsidR="000A2EC1" w:rsidRPr="00FF7FF8" w:rsidRDefault="00AB417E" w:rsidP="002406CB">
      <w:pPr>
        <w:pStyle w:val="3"/>
      </w:pPr>
      <w:r w:rsidRPr="00FF7FF8">
        <w:rPr>
          <w:rFonts w:hint="eastAsia"/>
        </w:rPr>
        <w:lastRenderedPageBreak/>
        <w:t>此外，</w:t>
      </w:r>
      <w:r w:rsidR="000A2EC1" w:rsidRPr="00FF7FF8">
        <w:rPr>
          <w:rFonts w:hint="eastAsia"/>
        </w:rPr>
        <w:t>承辦檢察官質疑</w:t>
      </w:r>
      <w:r w:rsidR="004767ED" w:rsidRPr="00FF7FF8">
        <w:rPr>
          <w:rFonts w:hint="eastAsia"/>
        </w:rPr>
        <w:t>該署為符合</w:t>
      </w:r>
      <w:r w:rsidR="000A2EC1" w:rsidRPr="00FF7FF8">
        <w:rPr>
          <w:rFonts w:hint="eastAsia"/>
        </w:rPr>
        <w:t>法務部</w:t>
      </w:r>
      <w:r w:rsidR="004767ED" w:rsidRPr="00FF7FF8">
        <w:rPr>
          <w:rFonts w:hint="eastAsia"/>
        </w:rPr>
        <w:t>施用毒品案件之緩起訴處分比率之績效，</w:t>
      </w:r>
      <w:r w:rsidR="00135994" w:rsidRPr="00FF7FF8">
        <w:rPr>
          <w:rFonts w:hint="eastAsia"/>
        </w:rPr>
        <w:t>竟</w:t>
      </w:r>
      <w:r w:rsidR="006573DD" w:rsidRPr="00FF7FF8">
        <w:rPr>
          <w:rFonts w:hint="eastAsia"/>
        </w:rPr>
        <w:t>由督導檢察事務室之主任檢察官，</w:t>
      </w:r>
      <w:r w:rsidR="004767ED" w:rsidRPr="00FF7FF8">
        <w:rPr>
          <w:rFonts w:hint="eastAsia"/>
        </w:rPr>
        <w:t>透過檢察</w:t>
      </w:r>
      <w:r w:rsidR="00135994" w:rsidRPr="00FF7FF8">
        <w:rPr>
          <w:rFonts w:hint="eastAsia"/>
        </w:rPr>
        <w:t>事務官</w:t>
      </w:r>
      <w:r w:rsidR="006573DD" w:rsidRPr="00FF7FF8">
        <w:rPr>
          <w:rFonts w:hint="eastAsia"/>
        </w:rPr>
        <w:t>，</w:t>
      </w:r>
      <w:r w:rsidR="00135994" w:rsidRPr="00FF7FF8">
        <w:rPr>
          <w:rFonts w:hint="eastAsia"/>
        </w:rPr>
        <w:t>要求更改其已形成應聲請簡易判決處刑</w:t>
      </w:r>
      <w:r w:rsidR="00462A61" w:rsidRPr="00FF7FF8">
        <w:rPr>
          <w:rFonts w:hint="eastAsia"/>
        </w:rPr>
        <w:t>心證</w:t>
      </w:r>
      <w:r w:rsidR="00135994" w:rsidRPr="00FF7FF8">
        <w:rPr>
          <w:rFonts w:hint="eastAsia"/>
        </w:rPr>
        <w:t>之</w:t>
      </w:r>
      <w:r w:rsidR="006573DD" w:rsidRPr="00FF7FF8">
        <w:rPr>
          <w:rFonts w:hint="eastAsia"/>
        </w:rPr>
        <w:t>個</w:t>
      </w:r>
      <w:r w:rsidR="001C396B" w:rsidRPr="00FF7FF8">
        <w:rPr>
          <w:rFonts w:hint="eastAsia"/>
        </w:rPr>
        <w:t>案：</w:t>
      </w:r>
    </w:p>
    <w:p w:rsidR="00286CF3" w:rsidRPr="00FF7FF8" w:rsidRDefault="003B3EA6" w:rsidP="003B3EA6">
      <w:pPr>
        <w:pStyle w:val="4"/>
      </w:pPr>
      <w:r w:rsidRPr="00FF7FF8">
        <w:rPr>
          <w:rFonts w:hint="eastAsia"/>
        </w:rPr>
        <w:t>承辦檢察官</w:t>
      </w:r>
      <w:r w:rsidR="00501509" w:rsidRPr="00FF7FF8">
        <w:rPr>
          <w:rFonts w:hint="eastAsia"/>
        </w:rPr>
        <w:t>於本院表示</w:t>
      </w:r>
      <w:r w:rsidR="00286CF3" w:rsidRPr="00FF7FF8">
        <w:rPr>
          <w:rFonts w:hint="eastAsia"/>
        </w:rPr>
        <w:t>：</w:t>
      </w:r>
    </w:p>
    <w:p w:rsidR="003B3EA6" w:rsidRPr="00FF7FF8" w:rsidRDefault="003B3EA6" w:rsidP="00286CF3">
      <w:pPr>
        <w:pStyle w:val="5"/>
      </w:pPr>
      <w:r w:rsidRPr="00FF7FF8">
        <w:rPr>
          <w:rFonts w:hint="eastAsia"/>
        </w:rPr>
        <w:t>當其認為案件不應給緩起訴時，白紙黑字寫下不宜緩起訴，主任檢察官會跳過檢察官，直接交還給</w:t>
      </w:r>
      <w:r w:rsidR="00900522" w:rsidRPr="00FF7FF8">
        <w:rPr>
          <w:rFonts w:hint="eastAsia"/>
        </w:rPr>
        <w:t>檢察</w:t>
      </w:r>
      <w:r w:rsidRPr="00FF7FF8">
        <w:rPr>
          <w:rFonts w:hint="eastAsia"/>
        </w:rPr>
        <w:t>事務官，混亂國家法制。事務官案件遲延時，即開始管考，其曾詢問</w:t>
      </w:r>
      <w:r w:rsidR="00900522" w:rsidRPr="00FF7FF8">
        <w:rPr>
          <w:rFonts w:hint="eastAsia"/>
        </w:rPr>
        <w:t>檢察</w:t>
      </w:r>
      <w:r w:rsidRPr="00FF7FF8">
        <w:rPr>
          <w:rFonts w:hint="eastAsia"/>
        </w:rPr>
        <w:t>事務官，案件為何遲延，</w:t>
      </w:r>
      <w:r w:rsidR="00900522" w:rsidRPr="00FF7FF8">
        <w:rPr>
          <w:rFonts w:hint="eastAsia"/>
        </w:rPr>
        <w:t>檢察</w:t>
      </w:r>
      <w:r w:rsidR="000D5EF8" w:rsidRPr="00FF7FF8">
        <w:rPr>
          <w:rFonts w:hint="eastAsia"/>
        </w:rPr>
        <w:t>事務官</w:t>
      </w:r>
      <w:r w:rsidRPr="00FF7FF8">
        <w:rPr>
          <w:rFonts w:hint="eastAsia"/>
        </w:rPr>
        <w:t>書面報告說，法務部要13％，7件毒偵案件中要有1件緩起訴，以彰顯績效，此為「6綁1」。今年3、4月間，禁止事務官送案，起訴的、聲請簡易處刑的，都不准送，只剩緩起訴的可以送，把緩起訴級距拉高，以求</w:t>
      </w:r>
      <w:r w:rsidR="007308A4" w:rsidRPr="00FF7FF8">
        <w:rPr>
          <w:rFonts w:hAnsi="標楷體" w:hint="eastAsia"/>
        </w:rPr>
        <w:t>地方檢察署</w:t>
      </w:r>
      <w:r w:rsidRPr="00FF7FF8">
        <w:rPr>
          <w:rFonts w:hint="eastAsia"/>
        </w:rPr>
        <w:t>績效。</w:t>
      </w:r>
    </w:p>
    <w:p w:rsidR="003B3EA6" w:rsidRPr="00FF7FF8" w:rsidRDefault="00286CF3" w:rsidP="00286CF3">
      <w:pPr>
        <w:pStyle w:val="5"/>
      </w:pPr>
      <w:r w:rsidRPr="00FF7FF8">
        <w:rPr>
          <w:rFonts w:hint="eastAsia"/>
        </w:rPr>
        <w:t>其辦理案件中，</w:t>
      </w:r>
      <w:r w:rsidR="00D259CE" w:rsidRPr="00FF7FF8">
        <w:rPr>
          <w:rFonts w:hint="eastAsia"/>
        </w:rPr>
        <w:t>某被告前因施用毒品，為警</w:t>
      </w:r>
      <w:r w:rsidRPr="00FF7FF8">
        <w:rPr>
          <w:rFonts w:hint="eastAsia"/>
        </w:rPr>
        <w:t>察</w:t>
      </w:r>
      <w:r w:rsidR="00D259CE" w:rsidRPr="00FF7FF8">
        <w:rPr>
          <w:rFonts w:hint="eastAsia"/>
        </w:rPr>
        <w:t>先</w:t>
      </w:r>
      <w:r w:rsidRPr="00FF7FF8">
        <w:rPr>
          <w:rFonts w:hint="eastAsia"/>
        </w:rPr>
        <w:t>、</w:t>
      </w:r>
      <w:r w:rsidR="00D259CE" w:rsidRPr="00FF7FF8">
        <w:rPr>
          <w:rFonts w:hint="eastAsia"/>
        </w:rPr>
        <w:t>後查獲</w:t>
      </w:r>
      <w:r w:rsidR="00D259CE" w:rsidRPr="00FF7FF8">
        <w:t>6</w:t>
      </w:r>
      <w:r w:rsidR="00D259CE" w:rsidRPr="00FF7FF8">
        <w:rPr>
          <w:rFonts w:hint="eastAsia"/>
        </w:rPr>
        <w:t>次，經檢察官分別</w:t>
      </w:r>
      <w:r w:rsidR="00D259CE" w:rsidRPr="00FF7FF8">
        <w:t>2</w:t>
      </w:r>
      <w:r w:rsidR="00D259CE" w:rsidRPr="00FF7FF8">
        <w:rPr>
          <w:rFonts w:hint="eastAsia"/>
        </w:rPr>
        <w:t>次為附命戒癮治療之緩起訴處分，嗣被告再於上述緩起訴處分期間內，為警查獲第</w:t>
      </w:r>
      <w:r w:rsidR="00D259CE" w:rsidRPr="00FF7FF8">
        <w:t>7</w:t>
      </w:r>
      <w:r w:rsidR="00D259CE" w:rsidRPr="00FF7FF8">
        <w:rPr>
          <w:rFonts w:hint="eastAsia"/>
        </w:rPr>
        <w:t>次、第</w:t>
      </w:r>
      <w:r w:rsidR="00D259CE" w:rsidRPr="00FF7FF8">
        <w:t>8</w:t>
      </w:r>
      <w:r w:rsidR="00D259CE" w:rsidRPr="00FF7FF8">
        <w:rPr>
          <w:rFonts w:hint="eastAsia"/>
        </w:rPr>
        <w:t>次、第</w:t>
      </w:r>
      <w:r w:rsidR="00D259CE" w:rsidRPr="00FF7FF8">
        <w:t>9</w:t>
      </w:r>
      <w:r w:rsidR="00D259CE" w:rsidRPr="00FF7FF8">
        <w:rPr>
          <w:rFonts w:hint="eastAsia"/>
        </w:rPr>
        <w:t>次施用毒品之犯行，該署檢察事務官乃以該署</w:t>
      </w:r>
      <w:r w:rsidR="00D259CE" w:rsidRPr="00FF7FF8">
        <w:t>106</w:t>
      </w:r>
      <w:r w:rsidR="00D259CE" w:rsidRPr="00FF7FF8">
        <w:rPr>
          <w:rFonts w:hint="eastAsia"/>
        </w:rPr>
        <w:t>年度毒偵字第</w:t>
      </w:r>
      <w:r w:rsidR="00D259CE" w:rsidRPr="00FF7FF8">
        <w:t>1892</w:t>
      </w:r>
      <w:r w:rsidR="00D259CE" w:rsidRPr="00FF7FF8">
        <w:rPr>
          <w:rFonts w:hint="eastAsia"/>
        </w:rPr>
        <w:t>、</w:t>
      </w:r>
      <w:r w:rsidR="00D259CE" w:rsidRPr="00FF7FF8">
        <w:t>2032</w:t>
      </w:r>
      <w:r w:rsidR="00D259CE" w:rsidRPr="00FF7FF8">
        <w:rPr>
          <w:rFonts w:hint="eastAsia"/>
        </w:rPr>
        <w:t>、</w:t>
      </w:r>
      <w:r w:rsidR="00D259CE" w:rsidRPr="00FF7FF8">
        <w:t>2176</w:t>
      </w:r>
      <w:r w:rsidR="00D259CE" w:rsidRPr="00FF7FF8">
        <w:rPr>
          <w:rFonts w:hint="eastAsia"/>
        </w:rPr>
        <w:t>號案件撰擬簡易判決聲請書稿，經</w:t>
      </w:r>
      <w:r w:rsidR="003B3EA6" w:rsidRPr="00FF7FF8">
        <w:rPr>
          <w:rFonts w:hint="eastAsia"/>
        </w:rPr>
        <w:t>其</w:t>
      </w:r>
      <w:r w:rsidR="00D259CE" w:rsidRPr="00FF7FF8">
        <w:rPr>
          <w:rFonts w:hint="eastAsia"/>
        </w:rPr>
        <w:t>於</w:t>
      </w:r>
      <w:r w:rsidR="00D259CE" w:rsidRPr="00FF7FF8">
        <w:t>106</w:t>
      </w:r>
      <w:r w:rsidR="00D259CE" w:rsidRPr="00FF7FF8">
        <w:rPr>
          <w:rFonts w:hint="eastAsia"/>
        </w:rPr>
        <w:t>年</w:t>
      </w:r>
      <w:r w:rsidR="00D259CE" w:rsidRPr="00FF7FF8">
        <w:t>4</w:t>
      </w:r>
      <w:r w:rsidR="00D259CE" w:rsidRPr="00FF7FF8">
        <w:rPr>
          <w:rFonts w:hint="eastAsia"/>
        </w:rPr>
        <w:t>月</w:t>
      </w:r>
      <w:r w:rsidR="00D259CE" w:rsidRPr="00FF7FF8">
        <w:t>7</w:t>
      </w:r>
      <w:r w:rsidR="00D259CE" w:rsidRPr="00FF7FF8">
        <w:rPr>
          <w:rFonts w:hint="eastAsia"/>
        </w:rPr>
        <w:t>日用印送閱，但該署檢察事務官室主任兼機動組主任檢察官，逕跳過</w:t>
      </w:r>
      <w:r w:rsidR="003B3EA6" w:rsidRPr="00FF7FF8">
        <w:rPr>
          <w:rFonts w:hint="eastAsia"/>
        </w:rPr>
        <w:t>該</w:t>
      </w:r>
      <w:r w:rsidR="00D259CE" w:rsidRPr="00FF7FF8">
        <w:rPr>
          <w:rFonts w:hint="eastAsia"/>
        </w:rPr>
        <w:t>檢察官而將案卷直接交給檢察事務官，並在送閱簿上批示「試緩」二字（意即試行緩起訴），復在送閱之簡易判決聲請書之原本上批示「被告於緩起訴期間再傳來戒癮」</w:t>
      </w:r>
      <w:r w:rsidR="003B3EA6" w:rsidRPr="00FF7FF8">
        <w:rPr>
          <w:rFonts w:hint="eastAsia"/>
        </w:rPr>
        <w:t>，檢察</w:t>
      </w:r>
      <w:r w:rsidR="00D259CE" w:rsidRPr="00FF7FF8">
        <w:rPr>
          <w:rFonts w:hint="eastAsia"/>
        </w:rPr>
        <w:t>事務官乃於</w:t>
      </w:r>
      <w:r w:rsidR="00D259CE" w:rsidRPr="00FF7FF8">
        <w:t>106</w:t>
      </w:r>
      <w:r w:rsidR="00D259CE" w:rsidRPr="00FF7FF8">
        <w:rPr>
          <w:rFonts w:hint="eastAsia"/>
        </w:rPr>
        <w:t>年</w:t>
      </w:r>
      <w:r w:rsidR="00D259CE" w:rsidRPr="00FF7FF8">
        <w:t>7</w:t>
      </w:r>
      <w:r w:rsidR="00D259CE" w:rsidRPr="00FF7FF8">
        <w:rPr>
          <w:rFonts w:hint="eastAsia"/>
        </w:rPr>
        <w:t>月</w:t>
      </w:r>
      <w:r w:rsidR="00D259CE" w:rsidRPr="00FF7FF8">
        <w:t>10</w:t>
      </w:r>
      <w:r w:rsidR="00D259CE" w:rsidRPr="00FF7FF8">
        <w:rPr>
          <w:rFonts w:hint="eastAsia"/>
        </w:rPr>
        <w:t>日承主任</w:t>
      </w:r>
      <w:r w:rsidR="003B3EA6" w:rsidRPr="00FF7FF8">
        <w:rPr>
          <w:rFonts w:hint="eastAsia"/>
        </w:rPr>
        <w:t>檢察官</w:t>
      </w:r>
      <w:r w:rsidR="00D259CE" w:rsidRPr="00FF7FF8">
        <w:rPr>
          <w:rFonts w:hint="eastAsia"/>
        </w:rPr>
        <w:t>之命，撰擬授權書要求本檢察官給予該案被告緩起訴處分，然本人以</w:t>
      </w:r>
      <w:r w:rsidR="00900522" w:rsidRPr="00FF7FF8">
        <w:rPr>
          <w:rFonts w:hint="eastAsia"/>
        </w:rPr>
        <w:t>為</w:t>
      </w:r>
      <w:r w:rsidR="00D259CE" w:rsidRPr="00FF7FF8">
        <w:rPr>
          <w:rFonts w:hint="eastAsia"/>
        </w:rPr>
        <w:t>被告係在緩起訴期間，接續</w:t>
      </w:r>
      <w:r w:rsidR="003B3EA6" w:rsidRPr="00FF7FF8">
        <w:rPr>
          <w:rFonts w:hint="eastAsia"/>
        </w:rPr>
        <w:lastRenderedPageBreak/>
        <w:t>3</w:t>
      </w:r>
      <w:r w:rsidR="00D259CE" w:rsidRPr="00FF7FF8">
        <w:rPr>
          <w:rFonts w:hint="eastAsia"/>
        </w:rPr>
        <w:t>、</w:t>
      </w:r>
      <w:r w:rsidR="003B3EA6" w:rsidRPr="00FF7FF8">
        <w:rPr>
          <w:rFonts w:hint="eastAsia"/>
        </w:rPr>
        <w:t>4</w:t>
      </w:r>
      <w:r w:rsidR="00D259CE" w:rsidRPr="00FF7FF8">
        <w:rPr>
          <w:rFonts w:hint="eastAsia"/>
        </w:rPr>
        <w:t>次施用毒</w:t>
      </w:r>
      <w:r w:rsidR="003B3EA6" w:rsidRPr="00FF7FF8">
        <w:rPr>
          <w:rFonts w:hint="eastAsia"/>
        </w:rPr>
        <w:t>品，不應給予緩起訴為由而嚴正拒絕，該案最終始以聲請簡易判決偵結</w:t>
      </w:r>
      <w:r w:rsidR="00A7130E" w:rsidRPr="00FF7FF8">
        <w:rPr>
          <w:rFonts w:hint="eastAsia"/>
        </w:rPr>
        <w:t>。</w:t>
      </w:r>
      <w:r w:rsidR="003B3EA6" w:rsidRPr="00FF7FF8">
        <w:rPr>
          <w:rFonts w:hint="eastAsia"/>
        </w:rPr>
        <w:t>並</w:t>
      </w:r>
      <w:r w:rsidR="001C396B" w:rsidRPr="00FF7FF8">
        <w:rPr>
          <w:rFonts w:hint="eastAsia"/>
        </w:rPr>
        <w:t>提出該股「檢察官辦案書類送閱簿」</w:t>
      </w:r>
      <w:r w:rsidR="003B3EA6" w:rsidRPr="00FF7FF8">
        <w:rPr>
          <w:rFonts w:hint="eastAsia"/>
        </w:rPr>
        <w:t>加以佐證。</w:t>
      </w:r>
    </w:p>
    <w:p w:rsidR="00C60D0D" w:rsidRPr="00FF7FF8" w:rsidRDefault="00C60D0D" w:rsidP="00C60D0D">
      <w:pPr>
        <w:pStyle w:val="4"/>
        <w:numPr>
          <w:ilvl w:val="3"/>
          <w:numId w:val="1"/>
        </w:numPr>
      </w:pPr>
      <w:r w:rsidRPr="00FF7FF8">
        <w:rPr>
          <w:rFonts w:hint="eastAsia"/>
        </w:rPr>
        <w:t>經法務部查復</w:t>
      </w:r>
      <w:r w:rsidR="002F7B18" w:rsidRPr="00FF7FF8">
        <w:rPr>
          <w:rStyle w:val="afc"/>
        </w:rPr>
        <w:footnoteReference w:id="15"/>
      </w:r>
      <w:r w:rsidRPr="00FF7FF8">
        <w:rPr>
          <w:rFonts w:hint="eastAsia"/>
        </w:rPr>
        <w:t>，法務部為提升施用毒品案件為附命戒癮治療緩起訴之比率，於106年需提升至15%</w:t>
      </w:r>
      <w:r w:rsidR="003F5336" w:rsidRPr="00FF7FF8">
        <w:rPr>
          <w:rFonts w:hint="eastAsia"/>
        </w:rPr>
        <w:t>。由此觀之，</w:t>
      </w:r>
      <w:r w:rsidR="00A324C4" w:rsidRPr="00FF7FF8">
        <w:rPr>
          <w:rFonts w:hint="eastAsia"/>
        </w:rPr>
        <w:t>為達15%績效標準，地方檢察署辦理施用毒品案件，</w:t>
      </w:r>
      <w:r w:rsidR="001F64F0" w:rsidRPr="00FF7FF8">
        <w:rPr>
          <w:rFonts w:hint="eastAsia"/>
        </w:rPr>
        <w:t>平均6.67件需有1件為緩起訴，</w:t>
      </w:r>
      <w:r w:rsidRPr="00FF7FF8">
        <w:rPr>
          <w:rFonts w:hint="eastAsia"/>
        </w:rPr>
        <w:t>則該承辦檢察官所稱新北地方檢察署因而</w:t>
      </w:r>
      <w:r w:rsidR="003F5336" w:rsidRPr="00FF7FF8">
        <w:rPr>
          <w:rFonts w:hint="eastAsia"/>
        </w:rPr>
        <w:t>指示</w:t>
      </w:r>
      <w:r w:rsidRPr="00FF7FF8">
        <w:rPr>
          <w:rFonts w:hint="eastAsia"/>
        </w:rPr>
        <w:t>「6綁1」</w:t>
      </w:r>
      <w:r w:rsidR="003F5336" w:rsidRPr="00FF7FF8">
        <w:rPr>
          <w:rFonts w:hint="eastAsia"/>
        </w:rPr>
        <w:t>，寧可架空檢察官偵查權，也要企圖衝高緩起訴比率，</w:t>
      </w:r>
      <w:r w:rsidRPr="00FF7FF8">
        <w:rPr>
          <w:rFonts w:hint="eastAsia"/>
        </w:rPr>
        <w:t>即非無因</w:t>
      </w:r>
      <w:r w:rsidR="003F5336" w:rsidRPr="00FF7FF8">
        <w:rPr>
          <w:rFonts w:hint="eastAsia"/>
        </w:rPr>
        <w:t>，該檢察官之指述，自堪採信</w:t>
      </w:r>
      <w:r w:rsidRPr="00FF7FF8">
        <w:rPr>
          <w:rFonts w:hint="eastAsia"/>
        </w:rPr>
        <w:t>。</w:t>
      </w:r>
    </w:p>
    <w:p w:rsidR="00EA2ABC" w:rsidRPr="00FF7FF8" w:rsidRDefault="00A7130E" w:rsidP="00066805">
      <w:pPr>
        <w:pStyle w:val="3"/>
      </w:pPr>
      <w:r w:rsidRPr="00FF7FF8">
        <w:rPr>
          <w:rFonts w:hint="eastAsia"/>
        </w:rPr>
        <w:t>按</w:t>
      </w:r>
      <w:r w:rsidR="00066805" w:rsidRPr="00FF7FF8">
        <w:rPr>
          <w:rFonts w:hint="eastAsia"/>
        </w:rPr>
        <w:t>檢察官偵查刑事案件之檢察事務，依檢察一體之原則，檢察總長及檢察長</w:t>
      </w:r>
      <w:r w:rsidRPr="00FF7FF8">
        <w:rPr>
          <w:rFonts w:hint="eastAsia"/>
        </w:rPr>
        <w:t>（以下合稱檢察首長）</w:t>
      </w:r>
      <w:r w:rsidR="00066805" w:rsidRPr="00FF7FF8">
        <w:rPr>
          <w:rFonts w:hint="eastAsia"/>
        </w:rPr>
        <w:t>有法院組織法第63條</w:t>
      </w:r>
      <w:r w:rsidR="00EA2ABC" w:rsidRPr="00FF7FF8">
        <w:rPr>
          <w:rStyle w:val="afc"/>
        </w:rPr>
        <w:footnoteReference w:id="16"/>
      </w:r>
      <w:r w:rsidR="00066805" w:rsidRPr="00FF7FF8">
        <w:rPr>
          <w:rFonts w:hint="eastAsia"/>
        </w:rPr>
        <w:t>及第64條</w:t>
      </w:r>
      <w:r w:rsidR="00EA2ABC" w:rsidRPr="00FF7FF8">
        <w:rPr>
          <w:rStyle w:val="afc"/>
        </w:rPr>
        <w:footnoteReference w:id="17"/>
      </w:r>
      <w:r w:rsidR="00066805" w:rsidRPr="00FF7FF8">
        <w:rPr>
          <w:rFonts w:hint="eastAsia"/>
        </w:rPr>
        <w:t>所定之檢察事務指令權，是以檢察官依刑事訴訟法執行職務，係受檢察總長或其所屬檢察長之指揮監督（司法院釋字第530號解釋文參照）。惟檢察首長行使第64條權限，涉及案件的分辦及司法正義的實現，應在一定條件下審慎為之，始能避免外力或行政力量藉檢察首長的職務承繼權及職務移轉權進行個案干預（法官法第93條立法理由參照），故於100年7月6日公布、101年7月6日施行之法官法第93條第1項規定</w:t>
      </w:r>
      <w:r w:rsidR="00501509" w:rsidRPr="00FF7FF8">
        <w:rPr>
          <w:rStyle w:val="afc"/>
        </w:rPr>
        <w:footnoteReference w:id="18"/>
      </w:r>
      <w:r w:rsidR="00066805" w:rsidRPr="00FF7FF8">
        <w:rPr>
          <w:rFonts w:hint="eastAsia"/>
        </w:rPr>
        <w:t>，對檢察</w:t>
      </w:r>
      <w:r w:rsidR="00066805" w:rsidRPr="00FF7FF8">
        <w:rPr>
          <w:rFonts w:hint="eastAsia"/>
        </w:rPr>
        <w:lastRenderedPageBreak/>
        <w:t>首長行使職務承繼權及職務移轉權設有限制</w:t>
      </w:r>
      <w:r w:rsidR="004C6292" w:rsidRPr="00FF7FF8">
        <w:rPr>
          <w:rFonts w:hint="eastAsia"/>
        </w:rPr>
        <w:t>。</w:t>
      </w:r>
    </w:p>
    <w:p w:rsidR="00066805" w:rsidRPr="00FF7FF8" w:rsidRDefault="00EA2ABC" w:rsidP="001011DD">
      <w:pPr>
        <w:pStyle w:val="3"/>
      </w:pPr>
      <w:r w:rsidRPr="00FF7FF8">
        <w:rPr>
          <w:rFonts w:hint="eastAsia"/>
        </w:rPr>
        <w:t>檢察官</w:t>
      </w:r>
      <w:r w:rsidR="006573DD" w:rsidRPr="00FF7FF8">
        <w:rPr>
          <w:rFonts w:hint="eastAsia"/>
        </w:rPr>
        <w:t>就</w:t>
      </w:r>
      <w:r w:rsidR="00AC5731" w:rsidRPr="00FF7FF8">
        <w:rPr>
          <w:rFonts w:hint="eastAsia"/>
        </w:rPr>
        <w:t>刑</w:t>
      </w:r>
      <w:r w:rsidRPr="00FF7FF8">
        <w:rPr>
          <w:rFonts w:hint="eastAsia"/>
        </w:rPr>
        <w:t>事偵查案件所為裁量決定，</w:t>
      </w:r>
      <w:r w:rsidR="001F3F3B" w:rsidRPr="00FF7FF8">
        <w:rPr>
          <w:rFonts w:hint="eastAsia"/>
        </w:rPr>
        <w:t>理</w:t>
      </w:r>
      <w:r w:rsidRPr="00FF7FF8">
        <w:rPr>
          <w:rFonts w:hint="eastAsia"/>
        </w:rPr>
        <w:t>應予</w:t>
      </w:r>
      <w:r w:rsidR="001F3F3B" w:rsidRPr="00FF7FF8">
        <w:rPr>
          <w:rFonts w:hint="eastAsia"/>
        </w:rPr>
        <w:t>以</w:t>
      </w:r>
      <w:r w:rsidRPr="00FF7FF8">
        <w:rPr>
          <w:rFonts w:hint="eastAsia"/>
        </w:rPr>
        <w:t>適度尊重</w:t>
      </w:r>
      <w:r w:rsidR="006573DD" w:rsidRPr="00FF7FF8">
        <w:rPr>
          <w:rFonts w:hint="eastAsia"/>
        </w:rPr>
        <w:t>，</w:t>
      </w:r>
      <w:r w:rsidR="006F1CDC" w:rsidRPr="00FF7FF8">
        <w:rPr>
          <w:rFonts w:hint="eastAsia"/>
        </w:rPr>
        <w:t>以</w:t>
      </w:r>
      <w:r w:rsidR="006573DD" w:rsidRPr="00FF7FF8">
        <w:rPr>
          <w:rFonts w:hint="eastAsia"/>
        </w:rPr>
        <w:t>避免外力干預</w:t>
      </w:r>
      <w:r w:rsidR="001F3F3B" w:rsidRPr="00FF7FF8">
        <w:rPr>
          <w:rFonts w:hint="eastAsia"/>
        </w:rPr>
        <w:t>。</w:t>
      </w:r>
      <w:r w:rsidRPr="00FF7FF8">
        <w:rPr>
          <w:rFonts w:hint="eastAsia"/>
        </w:rPr>
        <w:t>倘</w:t>
      </w:r>
      <w:r w:rsidR="001011DD" w:rsidRPr="00FF7FF8">
        <w:rPr>
          <w:rFonts w:hint="eastAsia"/>
        </w:rPr>
        <w:t>檢察官偵查之</w:t>
      </w:r>
      <w:r w:rsidR="00A7130E" w:rsidRPr="00FF7FF8">
        <w:rPr>
          <w:rFonts w:hint="eastAsia"/>
        </w:rPr>
        <w:t>個案</w:t>
      </w:r>
      <w:r w:rsidR="001011DD" w:rsidRPr="00FF7FF8">
        <w:rPr>
          <w:rFonts w:hint="eastAsia"/>
        </w:rPr>
        <w:t>，適用法律</w:t>
      </w:r>
      <w:r w:rsidR="00A7130E" w:rsidRPr="00FF7FF8">
        <w:rPr>
          <w:rFonts w:hint="eastAsia"/>
        </w:rPr>
        <w:t>並非妥適</w:t>
      </w:r>
      <w:r w:rsidR="001011DD" w:rsidRPr="00FF7FF8">
        <w:rPr>
          <w:rFonts w:hint="eastAsia"/>
        </w:rPr>
        <w:t>或追訴標準不一，</w:t>
      </w:r>
      <w:r w:rsidRPr="00FF7FF8">
        <w:rPr>
          <w:rFonts w:hint="eastAsia"/>
        </w:rPr>
        <w:t>辦案過程有</w:t>
      </w:r>
      <w:r w:rsidR="00A7130E" w:rsidRPr="00FF7FF8">
        <w:rPr>
          <w:rFonts w:hint="eastAsia"/>
        </w:rPr>
        <w:t>違法</w:t>
      </w:r>
      <w:r w:rsidR="001011DD" w:rsidRPr="00FF7FF8">
        <w:rPr>
          <w:rFonts w:hint="eastAsia"/>
        </w:rPr>
        <w:t>不當或</w:t>
      </w:r>
      <w:r w:rsidR="00A7130E" w:rsidRPr="00FF7FF8">
        <w:rPr>
          <w:rFonts w:hint="eastAsia"/>
        </w:rPr>
        <w:t>偏頗</w:t>
      </w:r>
      <w:r w:rsidR="001011DD" w:rsidRPr="00FF7FF8">
        <w:rPr>
          <w:rFonts w:hint="eastAsia"/>
        </w:rPr>
        <w:t>之虞，或特殊複雜或專業之案件</w:t>
      </w:r>
      <w:r w:rsidR="00A7130E" w:rsidRPr="00FF7FF8">
        <w:rPr>
          <w:rFonts w:hint="eastAsia"/>
        </w:rPr>
        <w:t>無法勝任</w:t>
      </w:r>
      <w:r w:rsidR="001011DD" w:rsidRPr="00FF7FF8">
        <w:rPr>
          <w:rFonts w:hint="eastAsia"/>
        </w:rPr>
        <w:t>之情形</w:t>
      </w:r>
      <w:r w:rsidR="00A7130E" w:rsidRPr="00FF7FF8">
        <w:rPr>
          <w:rFonts w:hint="eastAsia"/>
        </w:rPr>
        <w:t>，</w:t>
      </w:r>
      <w:r w:rsidR="001F3F3B" w:rsidRPr="00FF7FF8">
        <w:rPr>
          <w:rFonts w:hint="eastAsia"/>
        </w:rPr>
        <w:t>即可</w:t>
      </w:r>
      <w:r w:rsidR="006573DD" w:rsidRPr="00FF7FF8">
        <w:rPr>
          <w:rFonts w:hint="eastAsia"/>
        </w:rPr>
        <w:t>依</w:t>
      </w:r>
      <w:r w:rsidR="001F3F3B" w:rsidRPr="00FF7FF8">
        <w:rPr>
          <w:rFonts w:hint="eastAsia"/>
        </w:rPr>
        <w:t>法官法第93條第1項規定</w:t>
      </w:r>
      <w:r w:rsidR="006573DD" w:rsidRPr="00FF7FF8">
        <w:rPr>
          <w:rFonts w:hint="eastAsia"/>
        </w:rPr>
        <w:t>，在</w:t>
      </w:r>
      <w:r w:rsidR="001011DD" w:rsidRPr="00FF7FF8">
        <w:rPr>
          <w:rFonts w:hint="eastAsia"/>
        </w:rPr>
        <w:t>符合條文要件</w:t>
      </w:r>
      <w:r w:rsidR="001F3F3B" w:rsidRPr="00FF7FF8">
        <w:rPr>
          <w:rFonts w:hint="eastAsia"/>
        </w:rPr>
        <w:t>下，由檢察首長行使職務承繼權及職務移轉權。然</w:t>
      </w:r>
      <w:r w:rsidRPr="00FF7FF8">
        <w:rPr>
          <w:rFonts w:hint="eastAsia"/>
        </w:rPr>
        <w:t>無論</w:t>
      </w:r>
      <w:r w:rsidR="006573DD" w:rsidRPr="00FF7FF8">
        <w:rPr>
          <w:rFonts w:hint="eastAsia"/>
        </w:rPr>
        <w:t>係</w:t>
      </w:r>
      <w:r w:rsidRPr="00FF7FF8">
        <w:rPr>
          <w:rFonts w:hint="eastAsia"/>
        </w:rPr>
        <w:t>依法院組織法第64條或法官法第93條</w:t>
      </w:r>
      <w:r w:rsidR="006573DD" w:rsidRPr="00FF7FF8">
        <w:rPr>
          <w:rFonts w:hint="eastAsia"/>
        </w:rPr>
        <w:t>規定</w:t>
      </w:r>
      <w:r w:rsidR="003F5336" w:rsidRPr="00FF7FF8">
        <w:rPr>
          <w:rFonts w:hint="eastAsia"/>
        </w:rPr>
        <w:t>，對於檢察官個案移轉權限，僅檢察首長有權為之，絕</w:t>
      </w:r>
      <w:r w:rsidRPr="00FF7FF8">
        <w:rPr>
          <w:rFonts w:hint="eastAsia"/>
        </w:rPr>
        <w:t>非主任檢察官</w:t>
      </w:r>
      <w:r w:rsidR="00704EF7" w:rsidRPr="00FF7FF8">
        <w:rPr>
          <w:rFonts w:hint="eastAsia"/>
        </w:rPr>
        <w:t>之權限</w:t>
      </w:r>
      <w:r w:rsidRPr="00FF7FF8">
        <w:rPr>
          <w:rFonts w:hint="eastAsia"/>
        </w:rPr>
        <w:t>，</w:t>
      </w:r>
      <w:r w:rsidR="003F5336" w:rsidRPr="00FF7FF8">
        <w:rPr>
          <w:rFonts w:hint="eastAsia"/>
        </w:rPr>
        <w:t>亦非</w:t>
      </w:r>
      <w:r w:rsidR="00141AB1" w:rsidRPr="00FF7FF8">
        <w:rPr>
          <w:rFonts w:hint="eastAsia"/>
        </w:rPr>
        <w:t>得經</w:t>
      </w:r>
      <w:r w:rsidR="00E765F1" w:rsidRPr="00FF7FF8">
        <w:rPr>
          <w:rFonts w:hint="eastAsia"/>
        </w:rPr>
        <w:t>由</w:t>
      </w:r>
      <w:r w:rsidRPr="00FF7FF8">
        <w:rPr>
          <w:rFonts w:hint="eastAsia"/>
        </w:rPr>
        <w:t>檢察首長</w:t>
      </w:r>
      <w:r w:rsidR="00704EF7" w:rsidRPr="00FF7FF8">
        <w:rPr>
          <w:rFonts w:hint="eastAsia"/>
        </w:rPr>
        <w:t>授與主任檢察官代行之</w:t>
      </w:r>
      <w:r w:rsidRPr="00FF7FF8">
        <w:rPr>
          <w:rFonts w:hint="eastAsia"/>
        </w:rPr>
        <w:t>權限。</w:t>
      </w:r>
    </w:p>
    <w:p w:rsidR="00240824" w:rsidRPr="00FF7FF8" w:rsidRDefault="003F5336" w:rsidP="001F3F3B">
      <w:pPr>
        <w:pStyle w:val="3"/>
      </w:pPr>
      <w:r w:rsidRPr="00FF7FF8">
        <w:rPr>
          <w:rFonts w:hint="eastAsia"/>
        </w:rPr>
        <w:t>新北地方檢察署</w:t>
      </w:r>
      <w:r w:rsidR="00240824" w:rsidRPr="00FF7FF8">
        <w:rPr>
          <w:rFonts w:hint="eastAsia"/>
        </w:rPr>
        <w:t>將施用毒品案件</w:t>
      </w:r>
      <w:r w:rsidRPr="00FF7FF8">
        <w:rPr>
          <w:rFonts w:hint="eastAsia"/>
        </w:rPr>
        <w:t>，從分案之初即予</w:t>
      </w:r>
      <w:r w:rsidR="00240824" w:rsidRPr="00FF7FF8">
        <w:rPr>
          <w:rFonts w:hint="eastAsia"/>
        </w:rPr>
        <w:t>分流，幾乎由檢察事務官全權操辦，惟</w:t>
      </w:r>
      <w:r w:rsidR="00804C6B" w:rsidRPr="00FF7FF8">
        <w:rPr>
          <w:rFonts w:hint="eastAsia"/>
        </w:rPr>
        <w:t>依法院組織法第66條之3</w:t>
      </w:r>
      <w:r w:rsidR="00804C6B" w:rsidRPr="00FF7FF8">
        <w:rPr>
          <w:rStyle w:val="afc"/>
        </w:rPr>
        <w:footnoteReference w:id="19"/>
      </w:r>
      <w:r w:rsidR="001A4C6E" w:rsidRPr="00FF7FF8">
        <w:rPr>
          <w:rFonts w:hint="eastAsia"/>
        </w:rPr>
        <w:t>第1項第3款規定</w:t>
      </w:r>
      <w:r w:rsidR="00804C6B" w:rsidRPr="00FF7FF8">
        <w:rPr>
          <w:rFonts w:hint="eastAsia"/>
        </w:rPr>
        <w:t>，</w:t>
      </w:r>
      <w:r w:rsidR="004D3C9E" w:rsidRPr="00FF7FF8">
        <w:rPr>
          <w:rFonts w:hint="eastAsia"/>
        </w:rPr>
        <w:t>檢察事務官</w:t>
      </w:r>
      <w:r w:rsidR="00240824" w:rsidRPr="00FF7FF8">
        <w:rPr>
          <w:rFonts w:hint="eastAsia"/>
        </w:rPr>
        <w:t>終究僅係襄助檢察官辦理偵查業務，</w:t>
      </w:r>
      <w:r w:rsidR="004D3C9E" w:rsidRPr="00FF7FF8">
        <w:rPr>
          <w:rFonts w:hint="eastAsia"/>
        </w:rPr>
        <w:t>本</w:t>
      </w:r>
      <w:r w:rsidR="00240824" w:rsidRPr="00FF7FF8">
        <w:rPr>
          <w:rFonts w:hint="eastAsia"/>
        </w:rPr>
        <w:t>不應僭越檢察官職權，以維</w:t>
      </w:r>
      <w:r w:rsidR="007F3181" w:rsidRPr="00FF7FF8">
        <w:rPr>
          <w:rFonts w:hint="eastAsia"/>
        </w:rPr>
        <w:t>檢察官及檢察事務官</w:t>
      </w:r>
      <w:r w:rsidR="00A7130E" w:rsidRPr="00FF7FF8">
        <w:rPr>
          <w:rFonts w:hint="eastAsia"/>
        </w:rPr>
        <w:t>兩者間</w:t>
      </w:r>
      <w:r w:rsidR="001A4C6E" w:rsidRPr="00FF7FF8">
        <w:rPr>
          <w:rFonts w:hint="eastAsia"/>
        </w:rPr>
        <w:t>分官設職之目的。至於</w:t>
      </w:r>
      <w:r w:rsidR="00695572" w:rsidRPr="00FF7FF8">
        <w:rPr>
          <w:rFonts w:hint="eastAsia"/>
        </w:rPr>
        <w:t>新北地方檢察署</w:t>
      </w:r>
      <w:r w:rsidR="00240824" w:rsidRPr="00FF7FF8">
        <w:rPr>
          <w:rFonts w:hint="eastAsia"/>
        </w:rPr>
        <w:t>監督檢察事務官之主任檢察官，</w:t>
      </w:r>
      <w:r w:rsidR="001A4C6E" w:rsidRPr="00FF7FF8">
        <w:rPr>
          <w:rFonts w:hint="eastAsia"/>
        </w:rPr>
        <w:t>亦不應</w:t>
      </w:r>
      <w:r w:rsidR="007F3181" w:rsidRPr="00FF7FF8">
        <w:rPr>
          <w:rFonts w:hint="eastAsia"/>
        </w:rPr>
        <w:t>該</w:t>
      </w:r>
      <w:r w:rsidR="001A4C6E" w:rsidRPr="00FF7FF8">
        <w:rPr>
          <w:rFonts w:hint="eastAsia"/>
        </w:rPr>
        <w:t>為</w:t>
      </w:r>
      <w:r w:rsidR="00497015" w:rsidRPr="00FF7FF8">
        <w:rPr>
          <w:rFonts w:hint="eastAsia"/>
        </w:rPr>
        <w:t>了</w:t>
      </w:r>
      <w:r w:rsidR="003C612A" w:rsidRPr="00FF7FF8">
        <w:rPr>
          <w:rFonts w:hint="eastAsia"/>
        </w:rPr>
        <w:t>推行</w:t>
      </w:r>
      <w:r w:rsidR="00497015" w:rsidRPr="00FF7FF8">
        <w:rPr>
          <w:rFonts w:hint="eastAsia"/>
        </w:rPr>
        <w:t>該署政策，或</w:t>
      </w:r>
      <w:r w:rsidR="00A7130E" w:rsidRPr="00FF7FF8">
        <w:rPr>
          <w:rFonts w:hint="eastAsia"/>
        </w:rPr>
        <w:t>為</w:t>
      </w:r>
      <w:r w:rsidR="007F3181" w:rsidRPr="00FF7FF8">
        <w:rPr>
          <w:rFonts w:hint="eastAsia"/>
        </w:rPr>
        <w:t>符合</w:t>
      </w:r>
      <w:r w:rsidR="001A4C6E" w:rsidRPr="00FF7FF8">
        <w:rPr>
          <w:rFonts w:hint="eastAsia"/>
        </w:rPr>
        <w:t>法務部</w:t>
      </w:r>
      <w:r w:rsidR="00695572" w:rsidRPr="00FF7FF8">
        <w:rPr>
          <w:rFonts w:hint="eastAsia"/>
        </w:rPr>
        <w:t>所訂之</w:t>
      </w:r>
      <w:r w:rsidR="001A4C6E" w:rsidRPr="00FF7FF8">
        <w:rPr>
          <w:rFonts w:hint="eastAsia"/>
        </w:rPr>
        <w:t>績效</w:t>
      </w:r>
      <w:r w:rsidR="007F3181" w:rsidRPr="00FF7FF8">
        <w:rPr>
          <w:rFonts w:hint="eastAsia"/>
        </w:rPr>
        <w:t>指標</w:t>
      </w:r>
      <w:r w:rsidR="001A4C6E" w:rsidRPr="00FF7FF8">
        <w:rPr>
          <w:rFonts w:hint="eastAsia"/>
        </w:rPr>
        <w:t>，</w:t>
      </w:r>
      <w:r w:rsidR="00695572" w:rsidRPr="00FF7FF8">
        <w:rPr>
          <w:rFonts w:hint="eastAsia"/>
        </w:rPr>
        <w:t>要求變更</w:t>
      </w:r>
      <w:r w:rsidR="000C2BD5" w:rsidRPr="00FF7FF8">
        <w:rPr>
          <w:rFonts w:hint="eastAsia"/>
        </w:rPr>
        <w:t>承辦</w:t>
      </w:r>
      <w:r w:rsidR="00695572" w:rsidRPr="00FF7FF8">
        <w:rPr>
          <w:rFonts w:hint="eastAsia"/>
        </w:rPr>
        <w:t>檢察官已形成之個案處分決定，</w:t>
      </w:r>
      <w:r w:rsidR="00497015" w:rsidRPr="00FF7FF8">
        <w:rPr>
          <w:rFonts w:hint="eastAsia"/>
        </w:rPr>
        <w:t>而</w:t>
      </w:r>
      <w:r w:rsidR="004D3C9E" w:rsidRPr="00FF7FF8">
        <w:rPr>
          <w:rFonts w:hint="eastAsia"/>
        </w:rPr>
        <w:t>僭越</w:t>
      </w:r>
      <w:r w:rsidR="00497015" w:rsidRPr="00FF7FF8">
        <w:rPr>
          <w:rFonts w:hint="eastAsia"/>
        </w:rPr>
        <w:t>其分際，形同</w:t>
      </w:r>
      <w:r w:rsidR="007F3181" w:rsidRPr="00FF7FF8">
        <w:rPr>
          <w:rFonts w:hint="eastAsia"/>
        </w:rPr>
        <w:t>代行該署</w:t>
      </w:r>
      <w:r w:rsidR="004D3C9E" w:rsidRPr="00FF7FF8">
        <w:rPr>
          <w:rFonts w:hint="eastAsia"/>
        </w:rPr>
        <w:t>檢察長始有</w:t>
      </w:r>
      <w:r w:rsidR="00497015" w:rsidRPr="00FF7FF8">
        <w:rPr>
          <w:rFonts w:hint="eastAsia"/>
        </w:rPr>
        <w:t>之個案移轉之</w:t>
      </w:r>
      <w:r w:rsidR="004D3C9E" w:rsidRPr="00FF7FF8">
        <w:rPr>
          <w:rFonts w:hint="eastAsia"/>
        </w:rPr>
        <w:t>權限</w:t>
      </w:r>
      <w:r w:rsidR="003D7F0C" w:rsidRPr="00FF7FF8">
        <w:rPr>
          <w:rFonts w:hint="eastAsia"/>
        </w:rPr>
        <w:t>，而違反法院組織法第64條或法官法第93條規定</w:t>
      </w:r>
      <w:r w:rsidR="004D3C9E" w:rsidRPr="00FF7FF8">
        <w:rPr>
          <w:rFonts w:hint="eastAsia"/>
        </w:rPr>
        <w:t>。</w:t>
      </w:r>
    </w:p>
    <w:p w:rsidR="00497015" w:rsidRPr="00FF7FF8" w:rsidRDefault="00A7130E" w:rsidP="00E1246F">
      <w:pPr>
        <w:pStyle w:val="3"/>
      </w:pPr>
      <w:r w:rsidRPr="00FF7FF8">
        <w:rPr>
          <w:rFonts w:hint="eastAsia"/>
        </w:rPr>
        <w:t>有關</w:t>
      </w:r>
      <w:r w:rsidR="00871313" w:rsidRPr="00FF7FF8">
        <w:rPr>
          <w:rFonts w:hint="eastAsia"/>
        </w:rPr>
        <w:t>承辦檢察官上開質疑，</w:t>
      </w:r>
      <w:r w:rsidR="003C612A" w:rsidRPr="00FF7FF8">
        <w:rPr>
          <w:rFonts w:hint="eastAsia"/>
        </w:rPr>
        <w:t>雖可見該署</w:t>
      </w:r>
      <w:r w:rsidR="00552206" w:rsidRPr="00FF7FF8">
        <w:rPr>
          <w:rFonts w:hint="eastAsia"/>
        </w:rPr>
        <w:t>相關人員</w:t>
      </w:r>
      <w:r w:rsidRPr="00FF7FF8">
        <w:rPr>
          <w:rFonts w:hint="eastAsia"/>
        </w:rPr>
        <w:t>未能謹慎</w:t>
      </w:r>
      <w:r w:rsidR="003C612A" w:rsidRPr="00FF7FF8">
        <w:rPr>
          <w:rFonts w:hint="eastAsia"/>
        </w:rPr>
        <w:t>處理</w:t>
      </w:r>
      <w:r w:rsidRPr="00FF7FF8">
        <w:rPr>
          <w:rFonts w:hint="eastAsia"/>
        </w:rPr>
        <w:t>檢察</w:t>
      </w:r>
      <w:r w:rsidR="003C612A" w:rsidRPr="00FF7FF8">
        <w:rPr>
          <w:rFonts w:hint="eastAsia"/>
        </w:rPr>
        <w:t>事務，</w:t>
      </w:r>
      <w:r w:rsidR="00552206" w:rsidRPr="00FF7FF8">
        <w:rPr>
          <w:rFonts w:hint="eastAsia"/>
        </w:rPr>
        <w:t>惟該</w:t>
      </w:r>
      <w:r w:rsidR="003C612A" w:rsidRPr="00FF7FF8">
        <w:rPr>
          <w:rFonts w:hint="eastAsia"/>
        </w:rPr>
        <w:t>個案最終仍</w:t>
      </w:r>
      <w:r w:rsidR="00552206" w:rsidRPr="00FF7FF8">
        <w:rPr>
          <w:rFonts w:hint="eastAsia"/>
        </w:rPr>
        <w:t>係</w:t>
      </w:r>
      <w:r w:rsidR="003C612A" w:rsidRPr="00FF7FF8">
        <w:rPr>
          <w:rFonts w:hint="eastAsia"/>
        </w:rPr>
        <w:t>依承辦檢</w:t>
      </w:r>
      <w:r w:rsidR="003C612A" w:rsidRPr="00FF7FF8">
        <w:rPr>
          <w:rFonts w:hint="eastAsia"/>
        </w:rPr>
        <w:lastRenderedPageBreak/>
        <w:t>察官之</w:t>
      </w:r>
      <w:r w:rsidR="003F78CB" w:rsidRPr="00FF7FF8">
        <w:rPr>
          <w:rFonts w:hint="eastAsia"/>
        </w:rPr>
        <w:t>意為聲請簡易判決處刑，</w:t>
      </w:r>
      <w:r w:rsidRPr="00FF7FF8">
        <w:rPr>
          <w:rFonts w:hint="eastAsia"/>
        </w:rPr>
        <w:t>並未終局影響承辦檢察官決定。</w:t>
      </w:r>
      <w:r w:rsidR="003F78CB" w:rsidRPr="00FF7FF8">
        <w:rPr>
          <w:rFonts w:hint="eastAsia"/>
        </w:rPr>
        <w:t>然</w:t>
      </w:r>
      <w:r w:rsidRPr="00FF7FF8">
        <w:rPr>
          <w:rFonts w:hint="eastAsia"/>
        </w:rPr>
        <w:t>而，</w:t>
      </w:r>
      <w:r w:rsidR="00AF2798" w:rsidRPr="00FF7FF8">
        <w:rPr>
          <w:rFonts w:hint="eastAsia"/>
        </w:rPr>
        <w:t>若非該承辦檢察官的堅持，檢察官的意志被左右的情形，仍會發生。</w:t>
      </w:r>
      <w:r w:rsidR="003F78CB" w:rsidRPr="00FF7FF8">
        <w:rPr>
          <w:rFonts w:hint="eastAsia"/>
        </w:rPr>
        <w:t>此</w:t>
      </w:r>
      <w:r w:rsidRPr="00FF7FF8">
        <w:rPr>
          <w:rFonts w:hint="eastAsia"/>
        </w:rPr>
        <w:t>種現象</w:t>
      </w:r>
      <w:r w:rsidR="003F78CB" w:rsidRPr="00FF7FF8">
        <w:rPr>
          <w:rFonts w:hint="eastAsia"/>
        </w:rPr>
        <w:t>終非正辦，</w:t>
      </w:r>
      <w:r w:rsidR="00E1246F" w:rsidRPr="00FF7FF8">
        <w:rPr>
          <w:rFonts w:hint="eastAsia"/>
        </w:rPr>
        <w:t>故</w:t>
      </w:r>
      <w:r w:rsidR="003C612A" w:rsidRPr="00FF7FF8">
        <w:rPr>
          <w:rFonts w:hint="eastAsia"/>
        </w:rPr>
        <w:t>仍</w:t>
      </w:r>
      <w:r w:rsidR="00D730BE" w:rsidRPr="00FF7FF8">
        <w:rPr>
          <w:rFonts w:hint="eastAsia"/>
        </w:rPr>
        <w:t>應</w:t>
      </w:r>
      <w:r w:rsidR="003C612A" w:rsidRPr="00FF7FF8">
        <w:rPr>
          <w:rFonts w:hint="eastAsia"/>
        </w:rPr>
        <w:t>請法務部及新北地方檢察署</w:t>
      </w:r>
      <w:r w:rsidR="008D1A43" w:rsidRPr="00FF7FF8">
        <w:rPr>
          <w:rFonts w:hint="eastAsia"/>
        </w:rPr>
        <w:t>嚴加</w:t>
      </w:r>
      <w:r w:rsidR="003C612A" w:rsidRPr="00FF7FF8">
        <w:rPr>
          <w:rFonts w:hint="eastAsia"/>
        </w:rPr>
        <w:t>注意，</w:t>
      </w:r>
      <w:r w:rsidR="003F5336" w:rsidRPr="00FF7FF8">
        <w:rPr>
          <w:rFonts w:hint="eastAsia"/>
        </w:rPr>
        <w:t>在</w:t>
      </w:r>
      <w:r w:rsidR="003C612A" w:rsidRPr="00FF7FF8">
        <w:rPr>
          <w:rFonts w:hint="eastAsia"/>
        </w:rPr>
        <w:t>推行政策時，仍應兼顧法律正確適用，</w:t>
      </w:r>
      <w:r w:rsidR="00FD60A0" w:rsidRPr="00FF7FF8">
        <w:rPr>
          <w:rFonts w:hint="eastAsia"/>
        </w:rPr>
        <w:t>除依法官法第93條第1項由檢察首長行使個案移轉權外，原則上</w:t>
      </w:r>
      <w:r w:rsidR="003F5336" w:rsidRPr="00FF7FF8">
        <w:rPr>
          <w:rFonts w:hint="eastAsia"/>
        </w:rPr>
        <w:t>應</w:t>
      </w:r>
      <w:r w:rsidR="00C80AF7" w:rsidRPr="00FF7FF8">
        <w:rPr>
          <w:rFonts w:hint="eastAsia"/>
        </w:rPr>
        <w:t>妥慎</w:t>
      </w:r>
      <w:r w:rsidR="003C612A" w:rsidRPr="00FF7FF8">
        <w:rPr>
          <w:rFonts w:hint="eastAsia"/>
        </w:rPr>
        <w:t>尊重</w:t>
      </w:r>
      <w:r w:rsidR="00552206" w:rsidRPr="00FF7FF8">
        <w:rPr>
          <w:rFonts w:hint="eastAsia"/>
        </w:rPr>
        <w:t>承辦</w:t>
      </w:r>
      <w:r w:rsidR="003C612A" w:rsidRPr="00FF7FF8">
        <w:rPr>
          <w:rFonts w:hint="eastAsia"/>
        </w:rPr>
        <w:t>檢察官</w:t>
      </w:r>
      <w:r w:rsidR="00FD60A0" w:rsidRPr="00FF7FF8">
        <w:rPr>
          <w:rFonts w:hint="eastAsia"/>
        </w:rPr>
        <w:t>獨立辦案之裁量</w:t>
      </w:r>
      <w:r w:rsidR="003C612A" w:rsidRPr="00FF7FF8">
        <w:rPr>
          <w:rFonts w:hint="eastAsia"/>
        </w:rPr>
        <w:t>決定。</w:t>
      </w:r>
    </w:p>
    <w:p w:rsidR="00883409" w:rsidRPr="00FF7FF8" w:rsidRDefault="003F5336" w:rsidP="00883409">
      <w:pPr>
        <w:pStyle w:val="3"/>
      </w:pPr>
      <w:r w:rsidRPr="00FF7FF8">
        <w:rPr>
          <w:rFonts w:hint="eastAsia"/>
        </w:rPr>
        <w:t>綜上，</w:t>
      </w:r>
      <w:r w:rsidR="007A40DF" w:rsidRPr="00FF7FF8">
        <w:rPr>
          <w:rFonts w:hint="eastAsia"/>
        </w:rPr>
        <w:t>為配合法務部推行施用第一、二級毒品者，採行緩起訴</w:t>
      </w:r>
      <w:r w:rsidRPr="00FF7FF8">
        <w:rPr>
          <w:rFonts w:hint="eastAsia"/>
        </w:rPr>
        <w:t>政策</w:t>
      </w:r>
      <w:r w:rsidR="007A40DF" w:rsidRPr="00FF7FF8">
        <w:rPr>
          <w:rFonts w:hint="eastAsia"/>
        </w:rPr>
        <w:t>之後</w:t>
      </w:r>
      <w:r w:rsidRPr="00FF7FF8">
        <w:rPr>
          <w:rFonts w:hint="eastAsia"/>
        </w:rPr>
        <w:t>，</w:t>
      </w:r>
      <w:r w:rsidR="007A40DF" w:rsidRPr="00FF7FF8">
        <w:rPr>
          <w:rFonts w:hint="eastAsia"/>
        </w:rPr>
        <w:t>各地方檢察署競相評比，</w:t>
      </w:r>
      <w:r w:rsidRPr="00FF7FF8">
        <w:rPr>
          <w:rFonts w:hint="eastAsia"/>
        </w:rPr>
        <w:t>新北地方檢察署</w:t>
      </w:r>
      <w:r w:rsidR="007A40DF" w:rsidRPr="00FF7FF8">
        <w:rPr>
          <w:rFonts w:hint="eastAsia"/>
        </w:rPr>
        <w:t>為提高成效，</w:t>
      </w:r>
      <w:r w:rsidRPr="00FF7FF8">
        <w:rPr>
          <w:rFonts w:hint="eastAsia"/>
        </w:rPr>
        <w:t>自105年11月起採行毒品案件分流處理之機制，即有關施用毒品案件處理程序，均須經該署專股檢察官實體審核，由檢察官審核被告前科表是否適合為附命完成戒癮治療之緩起訴處分，</w:t>
      </w:r>
      <w:r w:rsidR="007A40DF" w:rsidRPr="00FF7FF8">
        <w:rPr>
          <w:rFonts w:hint="eastAsia"/>
        </w:rPr>
        <w:t>再</w:t>
      </w:r>
      <w:r w:rsidRPr="00FF7FF8">
        <w:rPr>
          <w:rFonts w:hint="eastAsia"/>
        </w:rPr>
        <w:t>出具授權書</w:t>
      </w:r>
      <w:r w:rsidR="007A40DF" w:rsidRPr="00FF7FF8">
        <w:rPr>
          <w:rFonts w:hint="eastAsia"/>
        </w:rPr>
        <w:t>，</w:t>
      </w:r>
      <w:r w:rsidRPr="00FF7FF8">
        <w:rPr>
          <w:rFonts w:hint="eastAsia"/>
        </w:rPr>
        <w:t>授權檢察事務官遵照緩起訴應履行事項詢問</w:t>
      </w:r>
      <w:r w:rsidR="007A40DF" w:rsidRPr="00FF7FF8">
        <w:rPr>
          <w:rFonts w:hint="eastAsia"/>
        </w:rPr>
        <w:t>被告</w:t>
      </w:r>
      <w:r w:rsidRPr="00FF7FF8">
        <w:rPr>
          <w:rFonts w:hint="eastAsia"/>
        </w:rPr>
        <w:t>，</w:t>
      </w:r>
      <w:r w:rsidR="007A40DF" w:rsidRPr="00FF7FF8">
        <w:rPr>
          <w:rFonts w:hint="eastAsia"/>
        </w:rPr>
        <w:t>嗣</w:t>
      </w:r>
      <w:r w:rsidRPr="00FF7FF8">
        <w:rPr>
          <w:rFonts w:hint="eastAsia"/>
        </w:rPr>
        <w:t>檢察事務官襄擬毒品案件卷證分析報告、書類、簽呈等，登載於辦案送閱簿，陳交檢察官及主任檢察官審核。惟運作上竟發生個案之承辦檢察官形成對被告聲請簡易判決處刑之心證後，主任檢察官竟透過檢察事務官要求該承辦檢察官試擬緩起訴，顯未尊重承辦檢察官之裁量權限，而違反法院組織法、法官法等規定，僭越行使僅檢察長始有之職務承繼權及職務移轉權。雖該個案最終仍依承辦檢察官之決定，惟本案涉及檢察官偵查權之行使，與檢察一體原則下權力之節制，更關係</w:t>
      </w:r>
      <w:r w:rsidR="007A40DF" w:rsidRPr="00FF7FF8">
        <w:rPr>
          <w:rFonts w:hint="eastAsia"/>
        </w:rPr>
        <w:t>到</w:t>
      </w:r>
      <w:r w:rsidRPr="00FF7FF8">
        <w:rPr>
          <w:rFonts w:hint="eastAsia"/>
        </w:rPr>
        <w:t>法律之正確適用，絕不能輕忽看待，法務部自應注意及之，新北地方檢察署更應檢討改進</w:t>
      </w:r>
      <w:r w:rsidR="00883409" w:rsidRPr="00FF7FF8">
        <w:rPr>
          <w:rFonts w:hint="eastAsia"/>
        </w:rPr>
        <w:t>。</w:t>
      </w:r>
    </w:p>
    <w:p w:rsidR="00563A1D" w:rsidRPr="00FF7FF8" w:rsidRDefault="00D4559B" w:rsidP="002A5EC3">
      <w:pPr>
        <w:pStyle w:val="2"/>
        <w:rPr>
          <w:b/>
        </w:rPr>
      </w:pPr>
      <w:r w:rsidRPr="00FF7FF8">
        <w:rPr>
          <w:rFonts w:hint="eastAsia"/>
          <w:b/>
        </w:rPr>
        <w:t>本院於【106司調0005】調查報告中指出，</w:t>
      </w:r>
      <w:r w:rsidR="003D6338" w:rsidRPr="00FF7FF8">
        <w:rPr>
          <w:rFonts w:hint="eastAsia"/>
          <w:b/>
        </w:rPr>
        <w:t>法務部函頒之「地方法院檢察署檢察事務官事務分配要點」</w:t>
      </w:r>
      <w:r w:rsidRPr="00FF7FF8">
        <w:rPr>
          <w:rFonts w:hint="eastAsia"/>
          <w:b/>
        </w:rPr>
        <w:t>第</w:t>
      </w:r>
      <w:r w:rsidRPr="00FF7FF8">
        <w:rPr>
          <w:rFonts w:hint="eastAsia"/>
          <w:b/>
        </w:rPr>
        <w:lastRenderedPageBreak/>
        <w:t>4點</w:t>
      </w:r>
      <w:r w:rsidR="003D6338" w:rsidRPr="00FF7FF8">
        <w:rPr>
          <w:rFonts w:hint="eastAsia"/>
          <w:b/>
        </w:rPr>
        <w:t>規定</w:t>
      </w:r>
      <w:r w:rsidRPr="00FF7FF8">
        <w:rPr>
          <w:rFonts w:hint="eastAsia"/>
          <w:b/>
        </w:rPr>
        <w:t>「例行性事務」內涵，係委由各</w:t>
      </w:r>
      <w:r w:rsidR="007308A4" w:rsidRPr="00FF7FF8">
        <w:rPr>
          <w:rFonts w:hAnsi="標楷體" w:hint="eastAsia"/>
          <w:b/>
        </w:rPr>
        <w:t>地方檢察署</w:t>
      </w:r>
      <w:r w:rsidRPr="00FF7FF8">
        <w:rPr>
          <w:rFonts w:hint="eastAsia"/>
          <w:b/>
        </w:rPr>
        <w:t>因地制宜訂定事務類型，形同將偵查中某特定類型案件，明定容許檢察事務官實施偵查、提起公訴等作</w:t>
      </w:r>
      <w:r w:rsidR="003D6338" w:rsidRPr="00FF7FF8">
        <w:rPr>
          <w:rFonts w:hint="eastAsia"/>
          <w:b/>
        </w:rPr>
        <w:t>為。其規定之不當，</w:t>
      </w:r>
      <w:r w:rsidRPr="00FF7FF8">
        <w:rPr>
          <w:rFonts w:hint="eastAsia"/>
          <w:b/>
        </w:rPr>
        <w:t>引發檢察事務官迴響，</w:t>
      </w:r>
      <w:r w:rsidR="003D6338" w:rsidRPr="00FF7FF8">
        <w:rPr>
          <w:rFonts w:hint="eastAsia"/>
          <w:b/>
        </w:rPr>
        <w:t>向本院</w:t>
      </w:r>
      <w:r w:rsidRPr="00FF7FF8">
        <w:rPr>
          <w:rFonts w:hint="eastAsia"/>
          <w:b/>
        </w:rPr>
        <w:t>提出許多值得法務部重視之議題。</w:t>
      </w:r>
      <w:r w:rsidR="003D6338" w:rsidRPr="00FF7FF8">
        <w:rPr>
          <w:rFonts w:hint="eastAsia"/>
          <w:b/>
        </w:rPr>
        <w:t>例</w:t>
      </w:r>
      <w:r w:rsidR="00603C7E" w:rsidRPr="00FF7FF8">
        <w:rPr>
          <w:rFonts w:hint="eastAsia"/>
          <w:b/>
        </w:rPr>
        <w:t>如</w:t>
      </w:r>
      <w:r w:rsidRPr="00FF7FF8">
        <w:rPr>
          <w:rFonts w:hint="eastAsia"/>
          <w:b/>
        </w:rPr>
        <w:t>檢察長</w:t>
      </w:r>
      <w:r w:rsidR="00603C7E" w:rsidRPr="00FF7FF8">
        <w:rPr>
          <w:rFonts w:hint="eastAsia"/>
          <w:b/>
        </w:rPr>
        <w:t>固</w:t>
      </w:r>
      <w:r w:rsidRPr="00FF7FF8">
        <w:rPr>
          <w:rFonts w:hint="eastAsia"/>
          <w:b/>
        </w:rPr>
        <w:t>得透過</w:t>
      </w:r>
      <w:r w:rsidR="00603C7E" w:rsidRPr="00FF7FF8">
        <w:rPr>
          <w:rFonts w:hint="eastAsia"/>
          <w:b/>
        </w:rPr>
        <w:t>指定</w:t>
      </w:r>
      <w:r w:rsidRPr="00FF7FF8">
        <w:rPr>
          <w:rFonts w:hint="eastAsia"/>
          <w:b/>
        </w:rPr>
        <w:t>「例行性事務」，使毒品</w:t>
      </w:r>
      <w:r w:rsidR="00603C7E" w:rsidRPr="00FF7FF8">
        <w:rPr>
          <w:rFonts w:hint="eastAsia"/>
          <w:b/>
        </w:rPr>
        <w:t>案件</w:t>
      </w:r>
      <w:r w:rsidRPr="00FF7FF8">
        <w:rPr>
          <w:rFonts w:hint="eastAsia"/>
          <w:b/>
        </w:rPr>
        <w:t>分流後，</w:t>
      </w:r>
      <w:r w:rsidR="003D6338" w:rsidRPr="00FF7FF8">
        <w:rPr>
          <w:rFonts w:hint="eastAsia"/>
          <w:b/>
        </w:rPr>
        <w:t>幾乎由檢察事務官全權操辦，</w:t>
      </w:r>
      <w:r w:rsidR="00603C7E" w:rsidRPr="00FF7FF8">
        <w:rPr>
          <w:rFonts w:hint="eastAsia"/>
          <w:b/>
        </w:rPr>
        <w:t>儘</w:t>
      </w:r>
      <w:r w:rsidR="003D6338" w:rsidRPr="00FF7FF8">
        <w:rPr>
          <w:rFonts w:hint="eastAsia"/>
          <w:b/>
        </w:rPr>
        <w:t>管如此較</w:t>
      </w:r>
      <w:r w:rsidR="00603C7E" w:rsidRPr="00FF7FF8">
        <w:rPr>
          <w:rFonts w:hint="eastAsia"/>
          <w:b/>
        </w:rPr>
        <w:t>可能達成</w:t>
      </w:r>
      <w:r w:rsidRPr="00FF7FF8">
        <w:rPr>
          <w:rFonts w:hint="eastAsia"/>
          <w:b/>
        </w:rPr>
        <w:t>法務部</w:t>
      </w:r>
      <w:r w:rsidR="003D6338" w:rsidRPr="00FF7FF8">
        <w:rPr>
          <w:rFonts w:hint="eastAsia"/>
          <w:b/>
        </w:rPr>
        <w:t>之</w:t>
      </w:r>
      <w:r w:rsidRPr="00FF7FF8">
        <w:rPr>
          <w:rFonts w:hint="eastAsia"/>
          <w:b/>
        </w:rPr>
        <w:t>政策要求</w:t>
      </w:r>
      <w:r w:rsidR="003D6338" w:rsidRPr="00FF7FF8">
        <w:rPr>
          <w:rFonts w:hint="eastAsia"/>
          <w:b/>
        </w:rPr>
        <w:t>，即緩起訴達成率達標。然</w:t>
      </w:r>
      <w:r w:rsidR="00573C2B" w:rsidRPr="00FF7FF8">
        <w:rPr>
          <w:rFonts w:hint="eastAsia"/>
          <w:b/>
        </w:rPr>
        <w:t>若因此</w:t>
      </w:r>
      <w:r w:rsidR="00603C7E" w:rsidRPr="00FF7FF8">
        <w:rPr>
          <w:rFonts w:hint="eastAsia"/>
          <w:b/>
        </w:rPr>
        <w:t>肇致</w:t>
      </w:r>
      <w:r w:rsidRPr="00FF7FF8">
        <w:rPr>
          <w:rFonts w:hint="eastAsia"/>
          <w:b/>
        </w:rPr>
        <w:t>新北地方檢察署之檢察事務官</w:t>
      </w:r>
      <w:r w:rsidR="007934D6" w:rsidRPr="00FF7FF8">
        <w:rPr>
          <w:rFonts w:hint="eastAsia"/>
          <w:b/>
        </w:rPr>
        <w:t>或書記官</w:t>
      </w:r>
      <w:r w:rsidRPr="00FF7FF8">
        <w:rPr>
          <w:rFonts w:hint="eastAsia"/>
          <w:b/>
        </w:rPr>
        <w:t>，</w:t>
      </w:r>
      <w:r w:rsidR="00603C7E" w:rsidRPr="00FF7FF8">
        <w:rPr>
          <w:rFonts w:hint="eastAsia"/>
          <w:b/>
        </w:rPr>
        <w:t>因</w:t>
      </w:r>
      <w:r w:rsidRPr="00FF7FF8">
        <w:rPr>
          <w:rFonts w:hint="eastAsia"/>
          <w:b/>
        </w:rPr>
        <w:t>業務負擔繁重</w:t>
      </w:r>
      <w:r w:rsidR="00603C7E" w:rsidRPr="00FF7FF8">
        <w:rPr>
          <w:rFonts w:hint="eastAsia"/>
          <w:b/>
        </w:rPr>
        <w:t>而</w:t>
      </w:r>
      <w:r w:rsidR="003A4F01" w:rsidRPr="00FF7FF8">
        <w:rPr>
          <w:rFonts w:hint="eastAsia"/>
          <w:b/>
        </w:rPr>
        <w:t>求去，即應探求改善之道</w:t>
      </w:r>
      <w:r w:rsidRPr="00FF7FF8">
        <w:rPr>
          <w:rFonts w:hint="eastAsia"/>
          <w:b/>
        </w:rPr>
        <w:t>。</w:t>
      </w:r>
      <w:r w:rsidR="00603C7E" w:rsidRPr="00FF7FF8">
        <w:rPr>
          <w:rFonts w:hint="eastAsia"/>
          <w:b/>
        </w:rPr>
        <w:t>又</w:t>
      </w:r>
      <w:r w:rsidR="001F594C" w:rsidRPr="00FF7FF8">
        <w:rPr>
          <w:rFonts w:hint="eastAsia"/>
          <w:b/>
        </w:rPr>
        <w:t>當</w:t>
      </w:r>
      <w:r w:rsidRPr="00FF7FF8">
        <w:rPr>
          <w:rFonts w:hint="eastAsia"/>
          <w:b/>
        </w:rPr>
        <w:t>檢察官</w:t>
      </w:r>
      <w:r w:rsidR="001F594C" w:rsidRPr="00FF7FF8">
        <w:rPr>
          <w:rFonts w:hint="eastAsia"/>
          <w:b/>
        </w:rPr>
        <w:t>不認同</w:t>
      </w:r>
      <w:r w:rsidR="00603C7E" w:rsidRPr="00FF7FF8">
        <w:rPr>
          <w:rFonts w:hint="eastAsia"/>
          <w:b/>
        </w:rPr>
        <w:t>該</w:t>
      </w:r>
      <w:r w:rsidRPr="00FF7FF8">
        <w:rPr>
          <w:rFonts w:hint="eastAsia"/>
          <w:b/>
        </w:rPr>
        <w:t>檢察署整體政策</w:t>
      </w:r>
      <w:r w:rsidR="001F594C" w:rsidRPr="00FF7FF8">
        <w:rPr>
          <w:rFonts w:hint="eastAsia"/>
          <w:b/>
        </w:rPr>
        <w:t>，而</w:t>
      </w:r>
      <w:r w:rsidRPr="00FF7FF8">
        <w:rPr>
          <w:rFonts w:hint="eastAsia"/>
          <w:b/>
        </w:rPr>
        <w:t>生扞挌</w:t>
      </w:r>
      <w:r w:rsidR="001F594C" w:rsidRPr="00FF7FF8">
        <w:rPr>
          <w:rFonts w:hint="eastAsia"/>
          <w:b/>
        </w:rPr>
        <w:t>之際</w:t>
      </w:r>
      <w:r w:rsidRPr="00FF7FF8">
        <w:rPr>
          <w:rFonts w:hint="eastAsia"/>
          <w:b/>
        </w:rPr>
        <w:t>，</w:t>
      </w:r>
      <w:r w:rsidR="001F594C" w:rsidRPr="00FF7FF8">
        <w:rPr>
          <w:rFonts w:hint="eastAsia"/>
          <w:b/>
        </w:rPr>
        <w:t>竟須由</w:t>
      </w:r>
      <w:r w:rsidRPr="00FF7FF8">
        <w:rPr>
          <w:rFonts w:hint="eastAsia"/>
          <w:b/>
        </w:rPr>
        <w:t>檢察事務官以基層部屬身分，居中協調，而身陷僵局，</w:t>
      </w:r>
      <w:r w:rsidR="001F594C" w:rsidRPr="00FF7FF8">
        <w:rPr>
          <w:rFonts w:hint="eastAsia"/>
          <w:b/>
        </w:rPr>
        <w:t>對於此種現象，理應避免發生</w:t>
      </w:r>
      <w:r w:rsidRPr="00FF7FF8">
        <w:rPr>
          <w:rFonts w:hint="eastAsia"/>
          <w:b/>
        </w:rPr>
        <w:t>。對於如何維繫檢察官</w:t>
      </w:r>
      <w:r w:rsidR="003A4F01" w:rsidRPr="00FF7FF8">
        <w:rPr>
          <w:rFonts w:hint="eastAsia"/>
          <w:b/>
        </w:rPr>
        <w:t>與檢察事務官</w:t>
      </w:r>
      <w:r w:rsidRPr="00FF7FF8">
        <w:rPr>
          <w:rFonts w:hint="eastAsia"/>
          <w:b/>
        </w:rPr>
        <w:t>兩體系間良好互動，</w:t>
      </w:r>
      <w:r w:rsidR="00603C7E" w:rsidRPr="00FF7FF8">
        <w:rPr>
          <w:rFonts w:hint="eastAsia"/>
          <w:b/>
        </w:rPr>
        <w:t>法務部及新北地方檢察署</w:t>
      </w:r>
      <w:r w:rsidRPr="00FF7FF8">
        <w:rPr>
          <w:rFonts w:hint="eastAsia"/>
          <w:b/>
        </w:rPr>
        <w:t>允應重視</w:t>
      </w:r>
      <w:r w:rsidR="00603C7E" w:rsidRPr="00FF7FF8">
        <w:rPr>
          <w:rFonts w:hint="eastAsia"/>
          <w:b/>
        </w:rPr>
        <w:t>並求</w:t>
      </w:r>
      <w:r w:rsidR="007A2066" w:rsidRPr="00FF7FF8">
        <w:rPr>
          <w:rFonts w:hint="eastAsia"/>
          <w:b/>
        </w:rPr>
        <w:t>改善</w:t>
      </w:r>
      <w:r w:rsidR="002A5EC3" w:rsidRPr="00FF7FF8">
        <w:rPr>
          <w:rFonts w:hint="eastAsia"/>
          <w:b/>
        </w:rPr>
        <w:t>。</w:t>
      </w:r>
    </w:p>
    <w:p w:rsidR="00E24272" w:rsidRPr="00FF7FF8" w:rsidRDefault="006B1C7A" w:rsidP="006B1C7A">
      <w:pPr>
        <w:pStyle w:val="3"/>
      </w:pPr>
      <w:r w:rsidRPr="00FF7FF8">
        <w:rPr>
          <w:rFonts w:hAnsi="標楷體" w:hint="eastAsia"/>
        </w:rPr>
        <w:t>本院於【106司調0005】報告中指出，「地方法院檢察署檢察事務官事務分配要點」之第4點「例行性事務」內涵，係委由各</w:t>
      </w:r>
      <w:r w:rsidR="007308A4" w:rsidRPr="00FF7FF8">
        <w:rPr>
          <w:rFonts w:hAnsi="標楷體" w:hint="eastAsia"/>
        </w:rPr>
        <w:t>地方檢察署</w:t>
      </w:r>
      <w:r w:rsidRPr="00FF7FF8">
        <w:rPr>
          <w:rFonts w:hAnsi="標楷體" w:hint="eastAsia"/>
        </w:rPr>
        <w:t>因地制宜訂定事務類型，形同將偵查中某特定類型案件，明定容許檢察事務官實施偵查、提起公訴等作為，恐已違反檢察官與檢察事務官之職務分際</w:t>
      </w:r>
      <w:r w:rsidR="00444F4C" w:rsidRPr="00FF7FF8">
        <w:rPr>
          <w:rFonts w:hAnsi="標楷體" w:hint="eastAsia"/>
        </w:rPr>
        <w:t>。嗣引發檢察事務官迴響，</w:t>
      </w:r>
      <w:r w:rsidRPr="00FF7FF8">
        <w:rPr>
          <w:rFonts w:hAnsi="標楷體" w:hint="eastAsia"/>
        </w:rPr>
        <w:t>本院遂於106年10月27日舉行會議，邀請數名檢察事務官與會，就其發言內容摘要如下</w:t>
      </w:r>
      <w:r w:rsidR="00FB3F52" w:rsidRPr="00FF7FF8">
        <w:rPr>
          <w:rFonts w:hAnsi="標楷體" w:hint="eastAsia"/>
        </w:rPr>
        <w:t>，值得法務部重視</w:t>
      </w:r>
      <w:r w:rsidRPr="00FF7FF8">
        <w:rPr>
          <w:rFonts w:hAnsi="標楷體" w:hint="eastAsia"/>
        </w:rPr>
        <w:t>：</w:t>
      </w:r>
    </w:p>
    <w:p w:rsidR="002C0954" w:rsidRPr="00FF7FF8" w:rsidRDefault="002C0954" w:rsidP="002C0954">
      <w:pPr>
        <w:pStyle w:val="4"/>
      </w:pPr>
      <w:r w:rsidRPr="00FF7FF8">
        <w:rPr>
          <w:rFonts w:hint="eastAsia"/>
        </w:rPr>
        <w:t>甲檢察事務官：</w:t>
      </w:r>
    </w:p>
    <w:p w:rsidR="002C0954" w:rsidRPr="00FF7FF8" w:rsidRDefault="002C0954" w:rsidP="00CA1F6C">
      <w:pPr>
        <w:pStyle w:val="42"/>
        <w:ind w:left="1701" w:firstLine="681"/>
      </w:pPr>
      <w:r w:rsidRPr="00FF7FF8">
        <w:rPr>
          <w:rFonts w:hint="eastAsia"/>
          <w:b/>
        </w:rPr>
        <w:t>有的檢察官會認為，讓事務官擬作書類，並沒有怠於職守而讓偵查生殺大權旁落的問題，因為最終書類還是會經過檢察官的把關，</w:t>
      </w:r>
      <w:r w:rsidRPr="00FF7FF8">
        <w:rPr>
          <w:rFonts w:hint="eastAsia"/>
        </w:rPr>
        <w:t>然而在我的經驗裡，暫不論分流的簡易類型化案件，都是事務官從頭辦到尾，檢察官原則上就是橡皮圖章</w:t>
      </w:r>
      <w:r w:rsidRPr="00FF7FF8">
        <w:rPr>
          <w:rFonts w:hint="eastAsia"/>
        </w:rPr>
        <w:lastRenderedPageBreak/>
        <w:t>蓋一蓋，根本不會仔細看書類內容，其他交辦案件，如果也是事務官一手辦完的，檢察官多也不會花心思翻卷而對書類深入審查，如果是檢察官有處理過部分調查的，叫事務官寫書類的，就算因為比較瞭解案情而對書類容易產生意見，但</w:t>
      </w:r>
      <w:r w:rsidRPr="00FF7FF8">
        <w:rPr>
          <w:rFonts w:hint="eastAsia"/>
          <w:b/>
        </w:rPr>
        <w:t>只要結論合於檢察官心證，所做的修改主要也是流於形式上措辭、論述堆疊的微幅變動，除非事務官的書類實在太離譜，不然沒有檢察官會自己大幅度翻修重寫</w:t>
      </w:r>
      <w:r w:rsidRPr="00FF7FF8">
        <w:rPr>
          <w:rFonts w:hint="eastAsia"/>
        </w:rPr>
        <w:t>。</w:t>
      </w:r>
    </w:p>
    <w:p w:rsidR="002C0954" w:rsidRPr="00FF7FF8" w:rsidRDefault="002C0954" w:rsidP="00CA1F6C">
      <w:pPr>
        <w:pStyle w:val="42"/>
        <w:ind w:left="1701" w:firstLine="680"/>
        <w:rPr>
          <w:b/>
        </w:rPr>
      </w:pPr>
      <w:r w:rsidRPr="00FF7FF8">
        <w:rPr>
          <w:rFonts w:hint="eastAsia"/>
        </w:rPr>
        <w:t>我看到了我的底線，我可以退，退到不去爭執寫書類是不是檢察官核心本職而不應交辦，不去爭取事務官是不是可以升任檢察官，但是至少，讓我能名正言順的說，這篇書類是我替檢察官寫的吧，但如此卑微的底線也被壓落</w:t>
      </w:r>
      <w:r w:rsidRPr="00FF7FF8">
        <w:rPr>
          <w:rFonts w:hint="eastAsia"/>
          <w:b/>
        </w:rPr>
        <w:t>。</w:t>
      </w:r>
    </w:p>
    <w:p w:rsidR="00AB45B4" w:rsidRPr="00FF7FF8" w:rsidRDefault="002C0954" w:rsidP="00CA1F6C">
      <w:pPr>
        <w:pStyle w:val="42"/>
        <w:ind w:left="1701" w:firstLine="680"/>
      </w:pPr>
      <w:r w:rsidRPr="00FF7FF8">
        <w:rPr>
          <w:rFonts w:hint="eastAsia"/>
        </w:rPr>
        <w:t>看起來好像只有速偵及毒偵案件才是分流給事務官的案件，但其實很多交辦案件都是名義上過水檢察官，以一張形式的交辦單就來到事務官這裡要求要從頭全案辦畢的，對我來說，這實質上和分流無異，且由於這種分流是經過主觀人為篩選的，所以檢察官們自然不會浪費交辦件數的配額，挑出「精華」案件來交辦，這種質的偏重，是報表數字無法反映的</w:t>
      </w:r>
      <w:r w:rsidR="00AB45B4" w:rsidRPr="00FF7FF8">
        <w:rPr>
          <w:rFonts w:hint="eastAsia"/>
        </w:rPr>
        <w:t>，故與有客觀標準的分流制度相比，對事務官的壓榨突襲程度更加嚴重。</w:t>
      </w:r>
    </w:p>
    <w:p w:rsidR="002C0954" w:rsidRPr="00FF7FF8" w:rsidRDefault="002C0954" w:rsidP="00CA1F6C">
      <w:pPr>
        <w:pStyle w:val="42"/>
        <w:ind w:left="1701" w:firstLine="680"/>
      </w:pPr>
      <w:r w:rsidRPr="00FF7FF8">
        <w:rPr>
          <w:rFonts w:hint="eastAsia"/>
        </w:rPr>
        <w:t>除了辦案的實體辛苦外，尚須負擔額外的一些形式程序，例如毒偵案件要反過來自己幫檢察官拿交辦單、在交辦單打好緩起訴戒癮治療的條件內容，結案時將交辦單折頁，提醒檢察官要補行蓋章授權，要送人觀勒或通緝人犯到案時，要跑去找檢察官簽指揮書及諭知強制處分，查詢資料或發函都要請組長代檢察官蓋印授權，事務官</w:t>
      </w:r>
      <w:r w:rsidRPr="00FF7FF8">
        <w:rPr>
          <w:rFonts w:hint="eastAsia"/>
        </w:rPr>
        <w:lastRenderedPageBreak/>
        <w:t>問證人因未具結而有證據能力的問題，</w:t>
      </w:r>
      <w:r w:rsidR="00B25EA0" w:rsidRPr="00FF7FF8">
        <w:rPr>
          <w:rFonts w:hint="eastAsia"/>
        </w:rPr>
        <w:t>所以還要事先約好檢察官配合其時間來複訊具結，這常常又是由事務官在幫檢察官記</w:t>
      </w:r>
      <w:r w:rsidRPr="00FF7FF8">
        <w:rPr>
          <w:rFonts w:hint="eastAsia"/>
        </w:rPr>
        <w:t>錄，一個人又要問又要打的一個人接力賽，一個案件也因為要經過事務官，又要經過檢察官的雙重閱卷和調查、審核，拖長辦案時間。</w:t>
      </w:r>
    </w:p>
    <w:p w:rsidR="006B1C7A" w:rsidRPr="00FF7FF8" w:rsidRDefault="002C0954" w:rsidP="006B1C7A">
      <w:pPr>
        <w:pStyle w:val="4"/>
      </w:pPr>
      <w:r w:rsidRPr="00FF7FF8">
        <w:rPr>
          <w:rFonts w:hint="eastAsia"/>
        </w:rPr>
        <w:t>乙檢察事務官</w:t>
      </w:r>
      <w:r w:rsidR="008D2A80">
        <w:rPr>
          <w:rFonts w:hint="eastAsia"/>
        </w:rPr>
        <w:t>：</w:t>
      </w:r>
    </w:p>
    <w:p w:rsidR="00AB45B4" w:rsidRPr="00FF7FF8" w:rsidRDefault="002C0954" w:rsidP="00CA1F6C">
      <w:pPr>
        <w:pStyle w:val="42"/>
        <w:ind w:left="1701" w:firstLine="680"/>
      </w:pPr>
      <w:r w:rsidRPr="00FF7FF8">
        <w:rPr>
          <w:rFonts w:hint="eastAsia"/>
        </w:rPr>
        <w:t>書類方面，檢察官會寫請試擬卷證分析，有時會註明起訴或不起訴，有時沒註明，書類種類就由</w:t>
      </w:r>
      <w:r w:rsidR="00485CA3" w:rsidRPr="00FF7FF8">
        <w:rPr>
          <w:rFonts w:hint="eastAsia"/>
        </w:rPr>
        <w:t>檢察事務官</w:t>
      </w:r>
      <w:r w:rsidRPr="00FF7FF8">
        <w:rPr>
          <w:rFonts w:hint="eastAsia"/>
        </w:rPr>
        <w:t>自行判斷，另外比較誇張的情況是，檢察官自己心證不明，叫</w:t>
      </w:r>
      <w:r w:rsidR="00485CA3" w:rsidRPr="00FF7FF8">
        <w:rPr>
          <w:rFonts w:hint="eastAsia"/>
        </w:rPr>
        <w:t>檢察事務官</w:t>
      </w:r>
      <w:r w:rsidRPr="00FF7FF8">
        <w:rPr>
          <w:rFonts w:hint="eastAsia"/>
        </w:rPr>
        <w:t>起訴、不起訴書都各擬一份。表頭就是卷證分析報告，結尾是某某</w:t>
      </w:r>
      <w:r w:rsidR="00485CA3" w:rsidRPr="00FF7FF8">
        <w:rPr>
          <w:rFonts w:hint="eastAsia"/>
        </w:rPr>
        <w:t>檢察事務官</w:t>
      </w:r>
      <w:r w:rsidRPr="00FF7FF8">
        <w:rPr>
          <w:rFonts w:hint="eastAsia"/>
        </w:rPr>
        <w:t>敬陳，其餘內容均與檢察官結案書類格式相同。事務官組長批完後送檢察事務官室主任檢察官，主任檢察官批完後會送給</w:t>
      </w:r>
      <w:r w:rsidR="00485CA3" w:rsidRPr="00FF7FF8">
        <w:rPr>
          <w:rFonts w:hint="eastAsia"/>
        </w:rPr>
        <w:t>檢察事務官</w:t>
      </w:r>
      <w:r w:rsidRPr="00FF7FF8">
        <w:rPr>
          <w:rFonts w:hint="eastAsia"/>
        </w:rPr>
        <w:t>，修完後給檢察官蓋章。大部分情況，檢察官只將表頭及具名部分更改，內容部分頂多改錯別字或用語，就直接蓋章送閱，少數情況會大改或退回給</w:t>
      </w:r>
      <w:r w:rsidR="00485CA3" w:rsidRPr="00FF7FF8">
        <w:rPr>
          <w:rFonts w:hint="eastAsia"/>
        </w:rPr>
        <w:t>檢察事務官</w:t>
      </w:r>
      <w:r w:rsidRPr="00FF7FF8">
        <w:rPr>
          <w:rFonts w:hint="eastAsia"/>
        </w:rPr>
        <w:t>重擬。</w:t>
      </w:r>
    </w:p>
    <w:p w:rsidR="002C0954" w:rsidRPr="00FF7FF8" w:rsidRDefault="002C0954" w:rsidP="00AB45B4">
      <w:pPr>
        <w:pStyle w:val="4"/>
      </w:pPr>
      <w:r w:rsidRPr="00FF7FF8">
        <w:rPr>
          <w:rFonts w:hint="eastAsia"/>
        </w:rPr>
        <w:t>丙檢察事務官：</w:t>
      </w:r>
    </w:p>
    <w:p w:rsidR="002C0954" w:rsidRPr="00FF7FF8" w:rsidRDefault="002C0954" w:rsidP="00CA1F6C">
      <w:pPr>
        <w:pStyle w:val="42"/>
        <w:ind w:left="1701" w:firstLine="680"/>
      </w:pPr>
      <w:r w:rsidRPr="00FF7FF8">
        <w:rPr>
          <w:rFonts w:hint="eastAsia"/>
        </w:rPr>
        <w:t>有關檢察官的工作量，檢察官有他們的偵查重點、內外勤輪值等。統計數字在</w:t>
      </w:r>
      <w:r w:rsidR="007308A4" w:rsidRPr="00FF7FF8">
        <w:rPr>
          <w:rFonts w:hAnsi="標楷體" w:hint="eastAsia"/>
        </w:rPr>
        <w:t>地方檢察署</w:t>
      </w:r>
      <w:r w:rsidRPr="00FF7FF8">
        <w:rPr>
          <w:rFonts w:hint="eastAsia"/>
        </w:rPr>
        <w:t>沒有很透明，分配要點雖然規定要公布交辦數量，但事實上，我們不會看到這個數字，只知道自己的工作量。</w:t>
      </w:r>
    </w:p>
    <w:p w:rsidR="00633D1C" w:rsidRPr="00FF7FF8" w:rsidRDefault="00633D1C" w:rsidP="00633D1C">
      <w:pPr>
        <w:pStyle w:val="3"/>
      </w:pPr>
      <w:r w:rsidRPr="00FF7FF8">
        <w:rPr>
          <w:rFonts w:hint="eastAsia"/>
        </w:rPr>
        <w:t>88年法院組織法修正後新設檢察事務官制度，係為襄助檢察官辦理偵查事務，提升檢察機關內部偵查機能，間接促進偵查品質，具有重要之公益目的。然而，國家</w:t>
      </w:r>
      <w:r w:rsidR="00485CA3" w:rsidRPr="00FF7FF8">
        <w:rPr>
          <w:rFonts w:hint="eastAsia"/>
        </w:rPr>
        <w:t>分</w:t>
      </w:r>
      <w:r w:rsidRPr="00FF7FF8">
        <w:rPr>
          <w:rFonts w:hint="eastAsia"/>
        </w:rPr>
        <w:t>官</w:t>
      </w:r>
      <w:r w:rsidR="00485CA3" w:rsidRPr="00FF7FF8">
        <w:rPr>
          <w:rFonts w:hint="eastAsia"/>
        </w:rPr>
        <w:t>設</w:t>
      </w:r>
      <w:r w:rsidRPr="00FF7FF8">
        <w:rPr>
          <w:rFonts w:hint="eastAsia"/>
        </w:rPr>
        <w:t>職，各有職掌，旨在分別負責，以共同完成國家任務。犯罪偵查活動中，刑事訴訟</w:t>
      </w:r>
      <w:r w:rsidRPr="00FF7FF8">
        <w:rPr>
          <w:rFonts w:hint="eastAsia"/>
        </w:rPr>
        <w:lastRenderedPageBreak/>
        <w:t>法及相關法律規定既賦予檢察官具有犯罪偵查權限而主導犯罪偵查，具有強制處分權，並有指揮、調度司法警察的權力，明確將檢察官定位為「偵查主體」，而檢察事務官僅係受檢察官指揮而襄助檢察官實施犯罪偵查，為「偵查輔助機關」，檢察官、檢察事務官兩者就其專業及角色定位各有不同，不容混淆。</w:t>
      </w:r>
    </w:p>
    <w:p w:rsidR="00633D1C" w:rsidRPr="00FF7FF8" w:rsidRDefault="00633D1C" w:rsidP="00633D1C">
      <w:pPr>
        <w:pStyle w:val="3"/>
      </w:pPr>
      <w:r w:rsidRPr="00FF7FF8">
        <w:rPr>
          <w:rFonts w:hint="eastAsia"/>
        </w:rPr>
        <w:t>檢察官依法院組織法第60條之規定，有「實施偵查、提起公訴、實行公訴、協助自訴、擔當自訴、指揮刑事裁判之執行及執行其他法令所定職務」之權限，又依同法第66條之3規定：「檢察事務官受檢察官之指揮，處理下列事務：一、實施搜索、扣押、勘驗或執行拘提。二、詢問告訴人、告發人、被告、證人或鑑定人。三</w:t>
      </w:r>
      <w:r w:rsidR="00D0420A" w:rsidRPr="00FF7FF8">
        <w:rPr>
          <w:rFonts w:hint="eastAsia"/>
        </w:rPr>
        <w:t>、</w:t>
      </w:r>
      <w:r w:rsidRPr="00FF7FF8">
        <w:rPr>
          <w:rFonts w:hint="eastAsia"/>
        </w:rPr>
        <w:t>襄助檢察官執行其他第60條所定之職權。檢察事務官處理前項前</w:t>
      </w:r>
      <w:r w:rsidR="00D0420A" w:rsidRPr="00FF7FF8">
        <w:rPr>
          <w:rFonts w:hint="eastAsia"/>
        </w:rPr>
        <w:t>2</w:t>
      </w:r>
      <w:r w:rsidRPr="00FF7FF8">
        <w:rPr>
          <w:rFonts w:hint="eastAsia"/>
        </w:rPr>
        <w:t>款事務，視為為刑事訴訟法第230條第1項之司法警察官」，是依上述規定觀之，檢察事務官在受檢察官指揮實施搜索、扣押、勘驗或執行拘提，及詢問告訴人、告發人、被告、證人或鑑定人時，視為刑事訴訟法第230條第1項之司法警察官；若檢察事務官受檢察官指揮，「襄助」檢察官實施偵查、提起公訴、實行公訴、協助自訴、擔當自訴、指揮刑事裁判執行及執行其他法令所定職務時，顯係基於檢察官之手足地位，實施刑事訴訟法賦予檢察官之權限（臺灣高等法院94年</w:t>
      </w:r>
      <w:r w:rsidR="00B25EA0" w:rsidRPr="00FF7FF8">
        <w:rPr>
          <w:rFonts w:hint="eastAsia"/>
        </w:rPr>
        <w:t>度</w:t>
      </w:r>
      <w:r w:rsidRPr="00FF7FF8">
        <w:rPr>
          <w:rFonts w:hint="eastAsia"/>
        </w:rPr>
        <w:t>交上易字第162號刑事判決參照）。</w:t>
      </w:r>
    </w:p>
    <w:p w:rsidR="00891528" w:rsidRPr="00FF7FF8" w:rsidRDefault="00891528" w:rsidP="00891528">
      <w:pPr>
        <w:pStyle w:val="3"/>
      </w:pPr>
      <w:r w:rsidRPr="00FF7FF8">
        <w:rPr>
          <w:rFonts w:hint="eastAsia"/>
        </w:rPr>
        <w:t>倘要求檢察官事必躬親，於</w:t>
      </w:r>
      <w:r w:rsidR="0091621E" w:rsidRPr="00FF7FF8">
        <w:rPr>
          <w:rFonts w:hint="eastAsia"/>
        </w:rPr>
        <w:t>案件源源不絕</w:t>
      </w:r>
      <w:r w:rsidR="004F3EA4" w:rsidRPr="00FF7FF8">
        <w:rPr>
          <w:rFonts w:hint="eastAsia"/>
        </w:rPr>
        <w:t>但</w:t>
      </w:r>
      <w:r w:rsidRPr="00FF7FF8">
        <w:rPr>
          <w:rFonts w:hint="eastAsia"/>
        </w:rPr>
        <w:t>人力資源有限情形下，勢必壓縮檢察官對於重大刑事犯罪之偵辦能量，故</w:t>
      </w:r>
      <w:r w:rsidR="004F3EA4" w:rsidRPr="00FF7FF8">
        <w:rPr>
          <w:rFonts w:hint="eastAsia"/>
        </w:rPr>
        <w:t>各</w:t>
      </w:r>
      <w:r w:rsidR="007308A4" w:rsidRPr="00FF7FF8">
        <w:rPr>
          <w:rFonts w:hAnsi="標楷體" w:hint="eastAsia"/>
        </w:rPr>
        <w:t>地方檢察署</w:t>
      </w:r>
      <w:r w:rsidRPr="00FF7FF8">
        <w:rPr>
          <w:rFonts w:hint="eastAsia"/>
        </w:rPr>
        <w:t>對於案情不繁複、處理程序較單純之例行性事務案件，交由檢察事務官處理，並</w:t>
      </w:r>
      <w:r w:rsidR="0091621E" w:rsidRPr="00FF7FF8">
        <w:rPr>
          <w:rFonts w:hint="eastAsia"/>
        </w:rPr>
        <w:t>受</w:t>
      </w:r>
      <w:r w:rsidRPr="00FF7FF8">
        <w:rPr>
          <w:rFonts w:hint="eastAsia"/>
        </w:rPr>
        <w:t>檢察官指揮監督，</w:t>
      </w:r>
      <w:r w:rsidR="0091621E" w:rsidRPr="00FF7FF8">
        <w:rPr>
          <w:rFonts w:hint="eastAsia"/>
        </w:rPr>
        <w:t>由承辦檢察官</w:t>
      </w:r>
      <w:r w:rsidRPr="00FF7FF8">
        <w:rPr>
          <w:rFonts w:hint="eastAsia"/>
        </w:rPr>
        <w:t>負個案</w:t>
      </w:r>
      <w:r w:rsidRPr="00FF7FF8">
        <w:rPr>
          <w:rFonts w:hint="eastAsia"/>
        </w:rPr>
        <w:lastRenderedPageBreak/>
        <w:t>成敗責任</w:t>
      </w:r>
      <w:r w:rsidR="004F3EA4" w:rsidRPr="00FF7FF8">
        <w:rPr>
          <w:rFonts w:hint="eastAsia"/>
        </w:rPr>
        <w:t>的政策，本院固能理解</w:t>
      </w:r>
      <w:r w:rsidRPr="00FF7FF8">
        <w:rPr>
          <w:rFonts w:hint="eastAsia"/>
        </w:rPr>
        <w:t>。然而，檢察事務官絕非檢察官附庸，亦非可凌駕於法院組織法第66條之3規定</w:t>
      </w:r>
      <w:r w:rsidRPr="00FF7FF8">
        <w:rPr>
          <w:rStyle w:val="afc"/>
        </w:rPr>
        <w:footnoteReference w:id="20"/>
      </w:r>
      <w:r w:rsidRPr="00FF7FF8">
        <w:rPr>
          <w:rFonts w:hint="eastAsia"/>
        </w:rPr>
        <w:t>，從</w:t>
      </w:r>
      <w:r w:rsidR="004F3EA4" w:rsidRPr="00FF7FF8">
        <w:rPr>
          <w:rFonts w:hint="eastAsia"/>
        </w:rPr>
        <w:t>「</w:t>
      </w:r>
      <w:r w:rsidRPr="00FF7FF8">
        <w:rPr>
          <w:rFonts w:hint="eastAsia"/>
        </w:rPr>
        <w:t>襄助檢察官之司法警察官</w:t>
      </w:r>
      <w:r w:rsidR="004F3EA4" w:rsidRPr="00FF7FF8">
        <w:rPr>
          <w:rFonts w:hint="eastAsia"/>
        </w:rPr>
        <w:t>」</w:t>
      </w:r>
      <w:r w:rsidRPr="00FF7FF8">
        <w:rPr>
          <w:rFonts w:hint="eastAsia"/>
        </w:rPr>
        <w:t>的身分，搖身一變成為</w:t>
      </w:r>
      <w:r w:rsidR="004F3EA4" w:rsidRPr="00FF7FF8">
        <w:rPr>
          <w:rFonts w:hint="eastAsia"/>
        </w:rPr>
        <w:t>「</w:t>
      </w:r>
      <w:r w:rsidRPr="00FF7FF8">
        <w:rPr>
          <w:rFonts w:hint="eastAsia"/>
        </w:rPr>
        <w:t>檢察官分身</w:t>
      </w:r>
      <w:r w:rsidR="004F3EA4" w:rsidRPr="00FF7FF8">
        <w:rPr>
          <w:rFonts w:hint="eastAsia"/>
        </w:rPr>
        <w:t>」</w:t>
      </w:r>
      <w:r w:rsidRPr="00FF7FF8">
        <w:rPr>
          <w:rFonts w:hint="eastAsia"/>
        </w:rPr>
        <w:t>，如何協調兩體系間衝突，並維持兩者間分際，並提升身為部屬的檢察事務官之工作品質，透過數名檢察事務官</w:t>
      </w:r>
      <w:r w:rsidR="004F3EA4" w:rsidRPr="00FF7FF8">
        <w:rPr>
          <w:rFonts w:hint="eastAsia"/>
        </w:rPr>
        <w:t>的現身說法</w:t>
      </w:r>
      <w:r w:rsidRPr="00FF7FF8">
        <w:rPr>
          <w:rFonts w:hint="eastAsia"/>
        </w:rPr>
        <w:t>，本院籲</w:t>
      </w:r>
      <w:r w:rsidR="004F3EA4" w:rsidRPr="00FF7FF8">
        <w:rPr>
          <w:rFonts w:hint="eastAsia"/>
        </w:rPr>
        <w:t>請</w:t>
      </w:r>
      <w:r w:rsidRPr="00FF7FF8">
        <w:rPr>
          <w:rFonts w:hint="eastAsia"/>
        </w:rPr>
        <w:t>法務部</w:t>
      </w:r>
      <w:r w:rsidR="004F3EA4" w:rsidRPr="00FF7FF8">
        <w:rPr>
          <w:rFonts w:hint="eastAsia"/>
        </w:rPr>
        <w:t>重視</w:t>
      </w:r>
      <w:r w:rsidRPr="00FF7FF8">
        <w:rPr>
          <w:rFonts w:hint="eastAsia"/>
        </w:rPr>
        <w:t>。</w:t>
      </w:r>
    </w:p>
    <w:p w:rsidR="008D6B7A" w:rsidRPr="00FF7FF8" w:rsidRDefault="002B012D" w:rsidP="00FB3F52">
      <w:pPr>
        <w:pStyle w:val="3"/>
      </w:pPr>
      <w:r w:rsidRPr="00FF7FF8">
        <w:rPr>
          <w:rFonts w:hint="eastAsia"/>
        </w:rPr>
        <w:t>有關施用毒品案件，甲檢察事務官提到：「除非一些案件(沒到通緝、有偵審案件)外，我們被要求全部要作戒癮。」丙檢察事務官提到：「</w:t>
      </w:r>
      <w:r w:rsidRPr="00FF7FF8">
        <w:rPr>
          <w:rFonts w:hAnsi="標楷體" w:hint="eastAsia"/>
          <w:szCs w:val="32"/>
        </w:rPr>
        <w:t>行</w:t>
      </w:r>
      <w:r w:rsidR="00B25EA0" w:rsidRPr="00FF7FF8">
        <w:rPr>
          <w:rFonts w:hAnsi="標楷體" w:hint="eastAsia"/>
          <w:szCs w:val="32"/>
        </w:rPr>
        <w:t>政院推毒品政策，立意是將毒品犯當成病人，各地檢需要衝高緩起訴比率</w:t>
      </w:r>
      <w:r w:rsidRPr="00FF7FF8">
        <w:rPr>
          <w:rFonts w:hAnsi="標楷體" w:hint="eastAsia"/>
          <w:szCs w:val="32"/>
        </w:rPr>
        <w:t>，有些檢察官願意配合，有些不願意配合。有很多毒品犯無法配合緩起訴策略(如：自費服用美沙冬)，因此撤銷緩起訴比率會拉高，其後端程序很繁瑣(撤銷緩起訴要有2份書類)，因此有檢察官會不想配合，檢察官認為簡判比較簡單。故新北、新竹、南投等</w:t>
      </w:r>
      <w:r w:rsidR="007308A4" w:rsidRPr="00FF7FF8">
        <w:rPr>
          <w:rFonts w:hAnsi="標楷體" w:hint="eastAsia"/>
        </w:rPr>
        <w:t>地方檢察署</w:t>
      </w:r>
      <w:r w:rsidRPr="00FF7FF8">
        <w:rPr>
          <w:rFonts w:hAnsi="標楷體" w:hint="eastAsia"/>
          <w:szCs w:val="32"/>
        </w:rPr>
        <w:t>將毒偵案件集中由特定檢察官辦理。毒偵案件分流，就不用顧慮某些檢察官意見。」</w:t>
      </w:r>
      <w:r w:rsidR="00265C21" w:rsidRPr="00FF7FF8">
        <w:rPr>
          <w:rFonts w:hAnsi="標楷體" w:hint="eastAsia"/>
          <w:szCs w:val="32"/>
        </w:rPr>
        <w:t>顯見</w:t>
      </w:r>
      <w:r w:rsidR="00BE17F3" w:rsidRPr="00FF7FF8">
        <w:rPr>
          <w:rFonts w:hAnsi="標楷體" w:hint="eastAsia"/>
          <w:szCs w:val="32"/>
        </w:rPr>
        <w:t>為</w:t>
      </w:r>
      <w:r w:rsidR="00265C21" w:rsidRPr="00FF7FF8">
        <w:rPr>
          <w:rFonts w:hAnsi="標楷體" w:hint="eastAsia"/>
          <w:szCs w:val="32"/>
        </w:rPr>
        <w:t>法務部</w:t>
      </w:r>
      <w:r w:rsidR="00BE17F3" w:rsidRPr="00FF7FF8">
        <w:rPr>
          <w:rFonts w:hAnsi="標楷體" w:hint="eastAsia"/>
          <w:szCs w:val="32"/>
        </w:rPr>
        <w:t>推展提高緩起訴處分比率之</w:t>
      </w:r>
      <w:r w:rsidR="00265C21" w:rsidRPr="00FF7FF8">
        <w:rPr>
          <w:rFonts w:hAnsi="標楷體" w:hint="eastAsia"/>
          <w:szCs w:val="32"/>
        </w:rPr>
        <w:t>政策</w:t>
      </w:r>
      <w:r w:rsidR="00BE17F3" w:rsidRPr="00FF7FF8">
        <w:rPr>
          <w:rFonts w:hAnsi="標楷體" w:hint="eastAsia"/>
          <w:szCs w:val="32"/>
        </w:rPr>
        <w:t>，</w:t>
      </w:r>
      <w:r w:rsidR="00265C21" w:rsidRPr="00FF7FF8">
        <w:rPr>
          <w:rFonts w:hAnsi="標楷體" w:hint="eastAsia"/>
          <w:szCs w:val="32"/>
        </w:rPr>
        <w:t>地方檢察署</w:t>
      </w:r>
      <w:r w:rsidR="00A618F6" w:rsidRPr="00FF7FF8">
        <w:rPr>
          <w:rFonts w:hAnsi="標楷體" w:hint="eastAsia"/>
          <w:szCs w:val="32"/>
        </w:rPr>
        <w:t>即</w:t>
      </w:r>
      <w:r w:rsidR="00BE17F3" w:rsidRPr="00FF7FF8">
        <w:rPr>
          <w:rFonts w:hAnsi="標楷體" w:hint="eastAsia"/>
          <w:szCs w:val="32"/>
        </w:rPr>
        <w:t>可採用毒偵案件分流方式</w:t>
      </w:r>
      <w:r w:rsidR="00265C21" w:rsidRPr="00FF7FF8">
        <w:rPr>
          <w:rFonts w:hAnsi="標楷體" w:hint="eastAsia"/>
          <w:szCs w:val="32"/>
        </w:rPr>
        <w:t>。</w:t>
      </w:r>
    </w:p>
    <w:p w:rsidR="00C96A35" w:rsidRPr="00FF7FF8" w:rsidRDefault="002B012D" w:rsidP="00662C44">
      <w:pPr>
        <w:pStyle w:val="3"/>
      </w:pPr>
      <w:r w:rsidRPr="00FF7FF8">
        <w:rPr>
          <w:rFonts w:hint="eastAsia"/>
        </w:rPr>
        <w:t>而依據法務部彙整各</w:t>
      </w:r>
      <w:r w:rsidR="007308A4" w:rsidRPr="00FF7FF8">
        <w:rPr>
          <w:rFonts w:hAnsi="標楷體" w:hint="eastAsia"/>
        </w:rPr>
        <w:t>地方檢察署</w:t>
      </w:r>
      <w:r w:rsidRPr="00FF7FF8">
        <w:rPr>
          <w:rFonts w:hint="eastAsia"/>
        </w:rPr>
        <w:t>有關毒品案件分流後之處理，</w:t>
      </w:r>
      <w:r w:rsidR="00A44FB1" w:rsidRPr="00FF7FF8">
        <w:rPr>
          <w:rFonts w:hint="eastAsia"/>
        </w:rPr>
        <w:t>計有新北、桃園、新竹、苗栗、臺中、彰化、南投、雲林、高雄、橋頭、基隆與澎湖等</w:t>
      </w:r>
      <w:r w:rsidR="007308A4" w:rsidRPr="00FF7FF8">
        <w:rPr>
          <w:rFonts w:hAnsi="標楷體" w:hint="eastAsia"/>
        </w:rPr>
        <w:t>地方檢察署</w:t>
      </w:r>
      <w:r w:rsidR="00A44FB1" w:rsidRPr="00FF7FF8">
        <w:rPr>
          <w:rFonts w:hint="eastAsia"/>
        </w:rPr>
        <w:t>，且毒品案件分流後，亦主要由檢察事務官</w:t>
      </w:r>
      <w:r w:rsidR="00D41FF2" w:rsidRPr="00FF7FF8">
        <w:rPr>
          <w:rFonts w:hint="eastAsia"/>
        </w:rPr>
        <w:t>辦</w:t>
      </w:r>
      <w:r w:rsidR="00A44FB1" w:rsidRPr="00FF7FF8">
        <w:rPr>
          <w:rFonts w:hint="eastAsia"/>
        </w:rPr>
        <w:t>理。</w:t>
      </w:r>
      <w:r w:rsidR="00662C44" w:rsidRPr="00FF7FF8">
        <w:rPr>
          <w:rFonts w:hint="eastAsia"/>
        </w:rPr>
        <w:t>惟本院既在</w:t>
      </w:r>
      <w:r w:rsidR="00662C44" w:rsidRPr="00FF7FF8">
        <w:rPr>
          <w:rFonts w:hAnsi="標楷體" w:hint="eastAsia"/>
          <w:szCs w:val="32"/>
        </w:rPr>
        <w:t>【106司調0005】報告中明確</w:t>
      </w:r>
      <w:r w:rsidR="00662C44" w:rsidRPr="00FF7FF8">
        <w:rPr>
          <w:rFonts w:hAnsi="標楷體" w:hint="eastAsia"/>
          <w:szCs w:val="32"/>
        </w:rPr>
        <w:lastRenderedPageBreak/>
        <w:t>指出例行性事務內涵模糊，且形同由檢察事務官處理案件，與法院組織法設置檢察事務官制度目的有違，並提案糾正。則將施用毒品案件放入例行性案件後，進行</w:t>
      </w:r>
      <w:r w:rsidR="00DF7C48" w:rsidRPr="00FF7FF8">
        <w:rPr>
          <w:rFonts w:hAnsi="標楷體" w:hint="eastAsia"/>
          <w:szCs w:val="32"/>
        </w:rPr>
        <w:t>案件</w:t>
      </w:r>
      <w:r w:rsidR="00662C44" w:rsidRPr="00FF7FF8">
        <w:rPr>
          <w:rFonts w:hAnsi="標楷體" w:hint="eastAsia"/>
          <w:szCs w:val="32"/>
        </w:rPr>
        <w:t>分流後，同樣</w:t>
      </w:r>
      <w:r w:rsidR="00DF7C48" w:rsidRPr="00FF7FF8">
        <w:rPr>
          <w:rFonts w:hAnsi="標楷體" w:hint="eastAsia"/>
          <w:szCs w:val="32"/>
        </w:rPr>
        <w:t>會</w:t>
      </w:r>
      <w:r w:rsidR="00662C44" w:rsidRPr="00FF7FF8">
        <w:rPr>
          <w:rFonts w:hAnsi="標楷體" w:hint="eastAsia"/>
          <w:szCs w:val="32"/>
        </w:rPr>
        <w:t>產生上述</w:t>
      </w:r>
      <w:r w:rsidR="0022085E" w:rsidRPr="00FF7FF8">
        <w:rPr>
          <w:rFonts w:hAnsi="標楷體" w:hint="eastAsia"/>
          <w:szCs w:val="32"/>
        </w:rPr>
        <w:t>前案調查</w:t>
      </w:r>
      <w:r w:rsidR="00662C44" w:rsidRPr="00FF7FF8">
        <w:rPr>
          <w:rFonts w:hAnsi="標楷體" w:hint="eastAsia"/>
          <w:szCs w:val="32"/>
        </w:rPr>
        <w:t>報告</w:t>
      </w:r>
      <w:r w:rsidR="00DF7C48" w:rsidRPr="00FF7FF8">
        <w:rPr>
          <w:rFonts w:hAnsi="標楷體" w:hint="eastAsia"/>
          <w:szCs w:val="32"/>
        </w:rPr>
        <w:t>所述</w:t>
      </w:r>
      <w:r w:rsidR="00662C44" w:rsidRPr="00FF7FF8">
        <w:rPr>
          <w:rFonts w:hAnsi="標楷體" w:hint="eastAsia"/>
          <w:szCs w:val="32"/>
        </w:rPr>
        <w:t>疑慮。</w:t>
      </w:r>
    </w:p>
    <w:p w:rsidR="002C0954" w:rsidRPr="00FF7FF8" w:rsidRDefault="00034800" w:rsidP="00C96A35">
      <w:pPr>
        <w:pStyle w:val="3"/>
      </w:pPr>
      <w:r w:rsidRPr="00FF7FF8">
        <w:rPr>
          <w:rFonts w:hAnsi="標楷體" w:hint="eastAsia"/>
          <w:szCs w:val="32"/>
        </w:rPr>
        <w:t>再者，</w:t>
      </w:r>
      <w:r w:rsidR="00322F5B" w:rsidRPr="00FF7FF8">
        <w:rPr>
          <w:rFonts w:hAnsi="標楷體" w:hint="eastAsia"/>
          <w:szCs w:val="32"/>
        </w:rPr>
        <w:t>新北地方檢察署承辦施用毒品專股之</w:t>
      </w:r>
      <w:r w:rsidR="00C96A35" w:rsidRPr="00FF7FF8">
        <w:rPr>
          <w:rFonts w:hAnsi="標楷體" w:hint="eastAsia"/>
          <w:szCs w:val="32"/>
        </w:rPr>
        <w:t>承辦檢察官</w:t>
      </w:r>
      <w:r w:rsidR="00322F5B" w:rsidRPr="00FF7FF8">
        <w:rPr>
          <w:rFonts w:hAnsi="標楷體" w:hint="eastAsia"/>
          <w:szCs w:val="32"/>
        </w:rPr>
        <w:t>，</w:t>
      </w:r>
      <w:r w:rsidR="00C96A35" w:rsidRPr="00FF7FF8">
        <w:rPr>
          <w:rFonts w:hAnsi="標楷體" w:hint="eastAsia"/>
          <w:szCs w:val="32"/>
        </w:rPr>
        <w:t>也質疑這種分流制度已</w:t>
      </w:r>
      <w:r w:rsidR="00267559" w:rsidRPr="00FF7FF8">
        <w:rPr>
          <w:rFonts w:hAnsi="標楷體" w:hint="eastAsia"/>
          <w:szCs w:val="32"/>
        </w:rPr>
        <w:t>造成</w:t>
      </w:r>
      <w:r w:rsidR="00C96A35" w:rsidRPr="00FF7FF8">
        <w:rPr>
          <w:rFonts w:hAnsi="標楷體" w:hint="eastAsia"/>
          <w:szCs w:val="32"/>
        </w:rPr>
        <w:t>檢察事務</w:t>
      </w:r>
      <w:r w:rsidR="00267559" w:rsidRPr="00FF7FF8">
        <w:rPr>
          <w:rFonts w:hAnsi="標楷體" w:hint="eastAsia"/>
          <w:szCs w:val="32"/>
        </w:rPr>
        <w:t>官辦案壓力</w:t>
      </w:r>
      <w:r w:rsidR="00C96A35" w:rsidRPr="00FF7FF8">
        <w:rPr>
          <w:rFonts w:hAnsi="標楷體" w:hint="eastAsia"/>
          <w:szCs w:val="32"/>
        </w:rPr>
        <w:t>：「去（105）年11月開始試辦，到今年8月，已有2名事務官退休，都不到60歲，自願離職2名，留職停薪5名，總共9名，現職事務官也不過47名，個人觀察，理由是因事務官的案件量變多了，6-7月間，有一股事務官的未結案件達260幾件，一般</w:t>
      </w:r>
      <w:r w:rsidR="007308A4" w:rsidRPr="00FF7FF8">
        <w:rPr>
          <w:rFonts w:hAnsi="標楷體" w:hint="eastAsia"/>
        </w:rPr>
        <w:t>地方檢察署</w:t>
      </w:r>
      <w:r w:rsidR="00C96A35" w:rsidRPr="00FF7FF8">
        <w:rPr>
          <w:rFonts w:hAnsi="標楷體" w:hint="eastAsia"/>
          <w:szCs w:val="32"/>
        </w:rPr>
        <w:t>事務官未結案量不會這麼多。試辦以來，辦案壓力不當轉嫁給事務官。」</w:t>
      </w:r>
    </w:p>
    <w:p w:rsidR="003D10D2" w:rsidRPr="00FF7FF8" w:rsidRDefault="00BD2A84" w:rsidP="007C6AC1">
      <w:pPr>
        <w:pStyle w:val="3"/>
      </w:pPr>
      <w:r w:rsidRPr="00FF7FF8">
        <w:rPr>
          <w:rFonts w:hint="eastAsia"/>
        </w:rPr>
        <w:t>況且</w:t>
      </w:r>
      <w:r w:rsidR="00D41FF2" w:rsidRPr="00FF7FF8">
        <w:rPr>
          <w:rFonts w:hint="eastAsia"/>
        </w:rPr>
        <w:t>，為符合法務部政策，督導檢察事務官室之主任檢察官，可能會要求</w:t>
      </w:r>
      <w:r w:rsidR="00DD4A9E" w:rsidRPr="00FF7FF8">
        <w:rPr>
          <w:rFonts w:hint="eastAsia"/>
        </w:rPr>
        <w:t>檢察事務官</w:t>
      </w:r>
      <w:r w:rsidR="00D41FF2" w:rsidRPr="00FF7FF8">
        <w:rPr>
          <w:rFonts w:hint="eastAsia"/>
        </w:rPr>
        <w:t>，商請</w:t>
      </w:r>
      <w:r w:rsidR="00DD4A9E" w:rsidRPr="00FF7FF8">
        <w:rPr>
          <w:rFonts w:hint="eastAsia"/>
        </w:rPr>
        <w:t>承辦檢察官更改決定</w:t>
      </w:r>
      <w:r w:rsidR="00D41FF2" w:rsidRPr="00FF7FF8">
        <w:rPr>
          <w:rFonts w:hint="eastAsia"/>
        </w:rPr>
        <w:t>等</w:t>
      </w:r>
      <w:r w:rsidR="00DD4A9E" w:rsidRPr="00FF7FF8">
        <w:rPr>
          <w:rFonts w:hint="eastAsia"/>
        </w:rPr>
        <w:t>情事，而</w:t>
      </w:r>
      <w:r w:rsidR="00D41FF2" w:rsidRPr="00FF7FF8">
        <w:rPr>
          <w:rFonts w:hint="eastAsia"/>
        </w:rPr>
        <w:t>使檢察事務官</w:t>
      </w:r>
      <w:r w:rsidR="00DD4A9E" w:rsidRPr="00FF7FF8">
        <w:rPr>
          <w:rFonts w:hint="eastAsia"/>
        </w:rPr>
        <w:t>陷於左右為難。</w:t>
      </w:r>
      <w:r w:rsidR="00665605" w:rsidRPr="00FF7FF8">
        <w:rPr>
          <w:rFonts w:hint="eastAsia"/>
        </w:rPr>
        <w:t>無論檢察事務官係授命於主任檢察官而</w:t>
      </w:r>
      <w:r w:rsidR="001465C3" w:rsidRPr="00FF7FF8">
        <w:rPr>
          <w:rFonts w:hint="eastAsia"/>
        </w:rPr>
        <w:t>希望</w:t>
      </w:r>
      <w:r w:rsidR="00665605" w:rsidRPr="00FF7FF8">
        <w:rPr>
          <w:rFonts w:hint="eastAsia"/>
        </w:rPr>
        <w:t>檢察官</w:t>
      </w:r>
      <w:r w:rsidR="005A699B" w:rsidRPr="00FF7FF8">
        <w:rPr>
          <w:rFonts w:hint="eastAsia"/>
        </w:rPr>
        <w:t>更改決定，或為</w:t>
      </w:r>
      <w:r w:rsidR="00412F28" w:rsidRPr="00FF7FF8">
        <w:rPr>
          <w:rFonts w:hint="eastAsia"/>
        </w:rPr>
        <w:t>符</w:t>
      </w:r>
      <w:r w:rsidR="005A699B" w:rsidRPr="00FF7FF8">
        <w:rPr>
          <w:rFonts w:hint="eastAsia"/>
        </w:rPr>
        <w:t>合該署緩起訴績效制度</w:t>
      </w:r>
      <w:r w:rsidR="007C6AC1" w:rsidRPr="00FF7FF8">
        <w:rPr>
          <w:rFonts w:hint="eastAsia"/>
        </w:rPr>
        <w:t>而</w:t>
      </w:r>
      <w:r w:rsidR="00C96A35" w:rsidRPr="00FF7FF8">
        <w:rPr>
          <w:rFonts w:hint="eastAsia"/>
        </w:rPr>
        <w:t>身不由己</w:t>
      </w:r>
      <w:r w:rsidR="005A699B" w:rsidRPr="00FF7FF8">
        <w:rPr>
          <w:rFonts w:hint="eastAsia"/>
        </w:rPr>
        <w:t>，</w:t>
      </w:r>
      <w:r w:rsidR="007C6AC1" w:rsidRPr="00FF7FF8">
        <w:rPr>
          <w:rFonts w:hint="eastAsia"/>
        </w:rPr>
        <w:t>倘</w:t>
      </w:r>
      <w:r w:rsidR="00034800" w:rsidRPr="00FF7FF8">
        <w:rPr>
          <w:rFonts w:hint="eastAsia"/>
        </w:rPr>
        <w:t>檢察事務官係</w:t>
      </w:r>
      <w:r w:rsidR="007C6AC1" w:rsidRPr="00FF7FF8">
        <w:rPr>
          <w:rFonts w:hint="eastAsia"/>
        </w:rPr>
        <w:t>為落實法務部</w:t>
      </w:r>
      <w:r w:rsidR="004B67D9" w:rsidRPr="00FF7FF8">
        <w:rPr>
          <w:rFonts w:hint="eastAsia"/>
        </w:rPr>
        <w:t>或該署</w:t>
      </w:r>
      <w:r w:rsidR="007C6AC1" w:rsidRPr="00FF7FF8">
        <w:rPr>
          <w:rFonts w:hint="eastAsia"/>
        </w:rPr>
        <w:t>推行政策，</w:t>
      </w:r>
      <w:r w:rsidR="00034800" w:rsidRPr="00FF7FF8">
        <w:rPr>
          <w:rFonts w:hint="eastAsia"/>
        </w:rPr>
        <w:t>而</w:t>
      </w:r>
      <w:r w:rsidR="007C6AC1" w:rsidRPr="00FF7FF8">
        <w:rPr>
          <w:rFonts w:hint="eastAsia"/>
        </w:rPr>
        <w:t>就上級檢察官與檢察署整體政策間所生扞挌，檢察事務官竟須以基層部屬身分，居中協調，</w:t>
      </w:r>
      <w:r w:rsidR="004B67D9" w:rsidRPr="00FF7FF8">
        <w:rPr>
          <w:rFonts w:hint="eastAsia"/>
        </w:rPr>
        <w:t>而身</w:t>
      </w:r>
      <w:r w:rsidR="007C6AC1" w:rsidRPr="00FF7FF8">
        <w:rPr>
          <w:rFonts w:hint="eastAsia"/>
        </w:rPr>
        <w:t>陷</w:t>
      </w:r>
      <w:r w:rsidR="007D0203" w:rsidRPr="00FF7FF8">
        <w:rPr>
          <w:rFonts w:hint="eastAsia"/>
        </w:rPr>
        <w:t>僵</w:t>
      </w:r>
      <w:r w:rsidR="007C6AC1" w:rsidRPr="00FF7FF8">
        <w:rPr>
          <w:rFonts w:hint="eastAsia"/>
        </w:rPr>
        <w:t>局，著實令本院感到憂心</w:t>
      </w:r>
      <w:r w:rsidR="00D41F9A" w:rsidRPr="00FF7FF8">
        <w:rPr>
          <w:rFonts w:hint="eastAsia"/>
        </w:rPr>
        <w:t>。</w:t>
      </w:r>
      <w:r w:rsidR="00265DBA" w:rsidRPr="00FF7FF8">
        <w:rPr>
          <w:rFonts w:hint="eastAsia"/>
        </w:rPr>
        <w:t>當檢察官體系與檢察事務官體系相互傾軋之際，法務部是否</w:t>
      </w:r>
      <w:r w:rsidR="007D0203" w:rsidRPr="00FF7FF8">
        <w:rPr>
          <w:rFonts w:hint="eastAsia"/>
        </w:rPr>
        <w:t>應思考在政策推行過程中，</w:t>
      </w:r>
      <w:r w:rsidR="004C2F77" w:rsidRPr="00FF7FF8">
        <w:rPr>
          <w:rFonts w:hint="eastAsia"/>
        </w:rPr>
        <w:t>須</w:t>
      </w:r>
      <w:r w:rsidR="007D0203" w:rsidRPr="00FF7FF8">
        <w:rPr>
          <w:rFonts w:hint="eastAsia"/>
        </w:rPr>
        <w:t>有更精緻作法或配套</w:t>
      </w:r>
      <w:r w:rsidR="00265DBA" w:rsidRPr="00FF7FF8">
        <w:rPr>
          <w:rFonts w:hint="eastAsia"/>
        </w:rPr>
        <w:t>？乃至於新北地方檢察署</w:t>
      </w:r>
      <w:r w:rsidR="007D0203" w:rsidRPr="00FF7FF8">
        <w:rPr>
          <w:rFonts w:hint="eastAsia"/>
        </w:rPr>
        <w:t>對於</w:t>
      </w:r>
      <w:r w:rsidR="00265DBA" w:rsidRPr="00FF7FF8">
        <w:rPr>
          <w:rFonts w:hint="eastAsia"/>
        </w:rPr>
        <w:t>檢察官</w:t>
      </w:r>
      <w:r w:rsidR="00F22EA2" w:rsidRPr="00FF7FF8">
        <w:rPr>
          <w:rFonts w:hint="eastAsia"/>
        </w:rPr>
        <w:t>之</w:t>
      </w:r>
      <w:r w:rsidR="00265DBA" w:rsidRPr="00FF7FF8">
        <w:rPr>
          <w:rFonts w:hint="eastAsia"/>
        </w:rPr>
        <w:t>間</w:t>
      </w:r>
      <w:r w:rsidR="00412F28" w:rsidRPr="00FF7FF8">
        <w:rPr>
          <w:rFonts w:hint="eastAsia"/>
        </w:rPr>
        <w:t>辦案</w:t>
      </w:r>
      <w:r w:rsidR="00265DBA" w:rsidRPr="00FF7FF8">
        <w:rPr>
          <w:rFonts w:hint="eastAsia"/>
        </w:rPr>
        <w:t>理念不合，</w:t>
      </w:r>
      <w:r w:rsidR="007D0203" w:rsidRPr="00FF7FF8">
        <w:rPr>
          <w:rFonts w:hint="eastAsia"/>
        </w:rPr>
        <w:t>有無相關</w:t>
      </w:r>
      <w:r w:rsidR="00163210" w:rsidRPr="00FF7FF8">
        <w:rPr>
          <w:rFonts w:hint="eastAsia"/>
        </w:rPr>
        <w:t>檢討</w:t>
      </w:r>
      <w:r w:rsidR="007D0203" w:rsidRPr="00FF7FF8">
        <w:rPr>
          <w:rFonts w:hint="eastAsia"/>
        </w:rPr>
        <w:t>措施，避免</w:t>
      </w:r>
      <w:r w:rsidR="00265DBA" w:rsidRPr="00FF7FF8">
        <w:rPr>
          <w:rFonts w:hint="eastAsia"/>
        </w:rPr>
        <w:t>基層辦事</w:t>
      </w:r>
      <w:r w:rsidR="00F22EA2" w:rsidRPr="00FF7FF8">
        <w:rPr>
          <w:rFonts w:hint="eastAsia"/>
        </w:rPr>
        <w:t>之</w:t>
      </w:r>
      <w:r w:rsidR="00265DBA" w:rsidRPr="00FF7FF8">
        <w:rPr>
          <w:rFonts w:hint="eastAsia"/>
        </w:rPr>
        <w:t>檢察事務官</w:t>
      </w:r>
      <w:r w:rsidR="007D0203" w:rsidRPr="00FF7FF8">
        <w:rPr>
          <w:rFonts w:hint="eastAsia"/>
        </w:rPr>
        <w:t>遭受責難</w:t>
      </w:r>
      <w:r w:rsidR="00265DBA" w:rsidRPr="00FF7FF8">
        <w:rPr>
          <w:rFonts w:hint="eastAsia"/>
        </w:rPr>
        <w:t>，而</w:t>
      </w:r>
      <w:r w:rsidR="00C96A35" w:rsidRPr="00FF7FF8">
        <w:rPr>
          <w:rFonts w:hint="eastAsia"/>
        </w:rPr>
        <w:t>陷於左右為難</w:t>
      </w:r>
      <w:r w:rsidR="00265DBA" w:rsidRPr="00FF7FF8">
        <w:rPr>
          <w:rFonts w:hint="eastAsia"/>
        </w:rPr>
        <w:t>？究竟我國檢察事務官體制</w:t>
      </w:r>
      <w:r w:rsidR="007D0203" w:rsidRPr="00FF7FF8">
        <w:rPr>
          <w:rFonts w:hint="eastAsia"/>
        </w:rPr>
        <w:t>施行至此時此</w:t>
      </w:r>
      <w:r w:rsidR="006838A5" w:rsidRPr="00FF7FF8">
        <w:rPr>
          <w:rFonts w:hint="eastAsia"/>
        </w:rPr>
        <w:t>刻</w:t>
      </w:r>
      <w:r w:rsidR="00265DBA" w:rsidRPr="00FF7FF8">
        <w:rPr>
          <w:rFonts w:hint="eastAsia"/>
        </w:rPr>
        <w:t>，是否還能符合88年提案修正法院組織法，增設「檢察事務官」一職之制度目</w:t>
      </w:r>
      <w:r w:rsidR="00265DBA" w:rsidRPr="00FF7FF8">
        <w:rPr>
          <w:rFonts w:hint="eastAsia"/>
        </w:rPr>
        <w:lastRenderedPageBreak/>
        <w:t>的</w:t>
      </w:r>
      <w:r w:rsidR="00265DBA" w:rsidRPr="00FF7FF8">
        <w:rPr>
          <w:rStyle w:val="afc"/>
        </w:rPr>
        <w:footnoteReference w:id="21"/>
      </w:r>
      <w:r w:rsidR="00265DBA" w:rsidRPr="00FF7FF8">
        <w:rPr>
          <w:rFonts w:hint="eastAsia"/>
        </w:rPr>
        <w:t>？</w:t>
      </w:r>
      <w:r w:rsidR="007D0203" w:rsidRPr="00FF7FF8">
        <w:rPr>
          <w:rFonts w:hint="eastAsia"/>
        </w:rPr>
        <w:t>恐須法務部</w:t>
      </w:r>
      <w:r w:rsidR="0073336B" w:rsidRPr="00FF7FF8">
        <w:rPr>
          <w:rFonts w:hint="eastAsia"/>
        </w:rPr>
        <w:t>及新北地方檢察署</w:t>
      </w:r>
      <w:r w:rsidR="007D0203" w:rsidRPr="00FF7FF8">
        <w:rPr>
          <w:rFonts w:hint="eastAsia"/>
        </w:rPr>
        <w:t>深刻檢討。</w:t>
      </w:r>
    </w:p>
    <w:p w:rsidR="00EE6694" w:rsidRPr="00FF7FF8" w:rsidRDefault="00DB17FD" w:rsidP="00707236">
      <w:pPr>
        <w:pStyle w:val="3"/>
      </w:pPr>
      <w:r w:rsidRPr="00FF7FF8">
        <w:rPr>
          <w:rFonts w:hint="eastAsia"/>
        </w:rPr>
        <w:t>綜上，</w:t>
      </w:r>
      <w:r w:rsidR="00A03370" w:rsidRPr="00FF7FF8">
        <w:rPr>
          <w:rFonts w:hint="eastAsia"/>
        </w:rPr>
        <w:t>本院於【106司調0005】調查報告中指出，</w:t>
      </w:r>
      <w:r w:rsidR="007F6F8A" w:rsidRPr="00FF7FF8">
        <w:rPr>
          <w:rFonts w:hint="eastAsia"/>
        </w:rPr>
        <w:t>法務部函頒之</w:t>
      </w:r>
      <w:r w:rsidR="00A03370" w:rsidRPr="00FF7FF8">
        <w:rPr>
          <w:rFonts w:hint="eastAsia"/>
        </w:rPr>
        <w:t>「地方法院檢察署檢察事務官事務分配要點」之第4點</w:t>
      </w:r>
      <w:r w:rsidR="007F6F8A" w:rsidRPr="00FF7FF8">
        <w:rPr>
          <w:rFonts w:hint="eastAsia"/>
        </w:rPr>
        <w:t>規定</w:t>
      </w:r>
      <w:r w:rsidR="00A03370" w:rsidRPr="00FF7FF8">
        <w:rPr>
          <w:rFonts w:hint="eastAsia"/>
        </w:rPr>
        <w:t>「例行性事務」內涵，係委由各</w:t>
      </w:r>
      <w:r w:rsidR="007308A4" w:rsidRPr="00FF7FF8">
        <w:rPr>
          <w:rFonts w:hAnsi="標楷體" w:hint="eastAsia"/>
        </w:rPr>
        <w:t>地方檢察署</w:t>
      </w:r>
      <w:r w:rsidR="00A03370" w:rsidRPr="00FF7FF8">
        <w:rPr>
          <w:rFonts w:hint="eastAsia"/>
        </w:rPr>
        <w:t>因地制宜訂定事務類型，形同將偵</w:t>
      </w:r>
      <w:r w:rsidR="007F6F8A" w:rsidRPr="00FF7FF8">
        <w:rPr>
          <w:rFonts w:hint="eastAsia"/>
        </w:rPr>
        <w:t>查中某特定類型案件，明定容許檢察事務官實施偵查、提起公訴等作為。其規定之不當，</w:t>
      </w:r>
      <w:r w:rsidR="00A03370" w:rsidRPr="00FF7FF8">
        <w:rPr>
          <w:rFonts w:hint="eastAsia"/>
        </w:rPr>
        <w:t>引發檢察事務官迴響，</w:t>
      </w:r>
      <w:r w:rsidR="007F6F8A" w:rsidRPr="00FF7FF8">
        <w:rPr>
          <w:rFonts w:hint="eastAsia"/>
        </w:rPr>
        <w:t>向本院</w:t>
      </w:r>
      <w:r w:rsidR="00A03370" w:rsidRPr="00FF7FF8">
        <w:rPr>
          <w:rFonts w:hint="eastAsia"/>
        </w:rPr>
        <w:t>提出許多值得法務部重視之議題。</w:t>
      </w:r>
      <w:r w:rsidR="007F6F8A" w:rsidRPr="00FF7FF8">
        <w:rPr>
          <w:rFonts w:hint="eastAsia"/>
        </w:rPr>
        <w:t>例</w:t>
      </w:r>
      <w:r w:rsidR="00A03370" w:rsidRPr="00FF7FF8">
        <w:rPr>
          <w:rFonts w:hint="eastAsia"/>
        </w:rPr>
        <w:t>如檢察長固得透過指定「例行性事務」，使毒品案件分流後，</w:t>
      </w:r>
      <w:r w:rsidR="007F6F8A" w:rsidRPr="00FF7FF8">
        <w:rPr>
          <w:rFonts w:hint="eastAsia"/>
        </w:rPr>
        <w:t>幾乎由檢察事務官全權操辦，</w:t>
      </w:r>
      <w:r w:rsidR="00A03370" w:rsidRPr="00FF7FF8">
        <w:rPr>
          <w:rFonts w:hint="eastAsia"/>
        </w:rPr>
        <w:t>儘</w:t>
      </w:r>
      <w:r w:rsidR="007F6F8A" w:rsidRPr="00FF7FF8">
        <w:rPr>
          <w:rFonts w:hint="eastAsia"/>
        </w:rPr>
        <w:t>管如此較</w:t>
      </w:r>
      <w:r w:rsidR="00A03370" w:rsidRPr="00FF7FF8">
        <w:rPr>
          <w:rFonts w:hint="eastAsia"/>
        </w:rPr>
        <w:t>可能達成法務部政策要求</w:t>
      </w:r>
      <w:r w:rsidR="007F6F8A" w:rsidRPr="00FF7FF8">
        <w:rPr>
          <w:rFonts w:hint="eastAsia"/>
        </w:rPr>
        <w:t>，即緩起訴達成率達標。然若因此</w:t>
      </w:r>
      <w:r w:rsidR="00A03370" w:rsidRPr="00FF7FF8">
        <w:rPr>
          <w:rFonts w:hint="eastAsia"/>
        </w:rPr>
        <w:t>肇致新北地方檢察署之檢察事務官或書記官，因業務負擔繁重而求去，</w:t>
      </w:r>
      <w:r w:rsidR="003B14A9" w:rsidRPr="00FF7FF8">
        <w:rPr>
          <w:rFonts w:hint="eastAsia"/>
        </w:rPr>
        <w:t>即應探求改善之道</w:t>
      </w:r>
      <w:r w:rsidR="00A03370" w:rsidRPr="00FF7FF8">
        <w:rPr>
          <w:rFonts w:hint="eastAsia"/>
        </w:rPr>
        <w:t>。又當檢察官不認同該檢察署整體政策，而生扞挌之際，竟須由檢察事務官以基層部屬身分，居中協調，而身陷僵局，對於此種現象，理應避免發生。對於如何維繫檢察官</w:t>
      </w:r>
      <w:r w:rsidR="007F6F8A" w:rsidRPr="00FF7FF8">
        <w:rPr>
          <w:rFonts w:hint="eastAsia"/>
        </w:rPr>
        <w:t>與檢察事務官</w:t>
      </w:r>
      <w:r w:rsidR="00A03370" w:rsidRPr="00FF7FF8">
        <w:rPr>
          <w:rFonts w:hint="eastAsia"/>
        </w:rPr>
        <w:t>兩體系間良好互動，法務部及新北地方檢察署允應重視並求改善。</w:t>
      </w:r>
    </w:p>
    <w:p w:rsidR="00DE0FBB" w:rsidRPr="00FF7FF8" w:rsidRDefault="00DE0FBB" w:rsidP="00DE0FBB">
      <w:pPr>
        <w:pStyle w:val="2"/>
        <w:rPr>
          <w:b/>
        </w:rPr>
      </w:pPr>
      <w:r w:rsidRPr="00FF7FF8">
        <w:rPr>
          <w:rFonts w:hint="eastAsia"/>
          <w:b/>
        </w:rPr>
        <w:t>被告</w:t>
      </w:r>
      <w:r w:rsidR="00F768D9" w:rsidRPr="00FF7FF8">
        <w:rPr>
          <w:rFonts w:hint="eastAsia"/>
          <w:b/>
        </w:rPr>
        <w:t>第1次</w:t>
      </w:r>
      <w:r w:rsidRPr="00FF7FF8">
        <w:rPr>
          <w:rFonts w:hint="eastAsia"/>
          <w:b/>
        </w:rPr>
        <w:t>施用毒品之案件為緩起訴處分後，第2次施用毒品遭查獲，並發覺第2次施用毒品行為係在該次緩起訴處分之前，然其處理方式，引發最高法院105年度台非字第29號判決、106年度台非字第220號判決2</w:t>
      </w:r>
      <w:r w:rsidR="00F768D9" w:rsidRPr="00FF7FF8">
        <w:rPr>
          <w:rFonts w:hint="eastAsia"/>
          <w:b/>
        </w:rPr>
        <w:t>則非常上訴判決之歧異見解。究竟</w:t>
      </w:r>
      <w:r w:rsidRPr="00FF7FF8">
        <w:rPr>
          <w:rFonts w:hint="eastAsia"/>
          <w:b/>
        </w:rPr>
        <w:t>檢察官對於</w:t>
      </w:r>
      <w:r w:rsidR="00702CF9" w:rsidRPr="00FF7FF8">
        <w:rPr>
          <w:rFonts w:hint="eastAsia"/>
          <w:b/>
        </w:rPr>
        <w:t>被告</w:t>
      </w:r>
      <w:r w:rsidRPr="00FF7FF8">
        <w:rPr>
          <w:rFonts w:hint="eastAsia"/>
          <w:b/>
        </w:rPr>
        <w:t>第1次施用毒品為緩起訴處分後，</w:t>
      </w:r>
      <w:r w:rsidR="00702CF9" w:rsidRPr="00FF7FF8">
        <w:rPr>
          <w:rFonts w:hint="eastAsia"/>
          <w:b/>
        </w:rPr>
        <w:t>被告</w:t>
      </w:r>
      <w:r w:rsidRPr="00FF7FF8">
        <w:rPr>
          <w:rFonts w:hint="eastAsia"/>
          <w:b/>
        </w:rPr>
        <w:t>第2次施用毒品，雖係查獲在後，但行為時係在緩起訴處分前，是否亦為該次緩起訴效力所及，</w:t>
      </w:r>
      <w:r w:rsidR="00760FB0" w:rsidRPr="00FF7FF8">
        <w:rPr>
          <w:rFonts w:hint="eastAsia"/>
          <w:b/>
        </w:rPr>
        <w:t>似</w:t>
      </w:r>
      <w:r w:rsidRPr="00FF7FF8">
        <w:rPr>
          <w:rFonts w:hint="eastAsia"/>
          <w:b/>
        </w:rPr>
        <w:t>須進一步研議釐清。</w:t>
      </w:r>
    </w:p>
    <w:p w:rsidR="00DE0FBB" w:rsidRPr="00FF7FF8" w:rsidRDefault="00DE0FBB" w:rsidP="00DE0FBB">
      <w:pPr>
        <w:pStyle w:val="3"/>
      </w:pPr>
      <w:r w:rsidRPr="00FF7FF8">
        <w:rPr>
          <w:rFonts w:hint="eastAsia"/>
        </w:rPr>
        <w:lastRenderedPageBreak/>
        <w:t>依毒品危害防治條例第24條第2項規定：「前項緩起訴處分（按：為附命完成戒癮治療之緩起訴處分），經撤銷者，檢察官應依法追訴。」有關檢察官應依法追訴之文義為何，最高法院100年度第1次刑事庭會議</w:t>
      </w:r>
      <w:r w:rsidRPr="00FF7FF8">
        <w:rPr>
          <w:rStyle w:val="afc"/>
        </w:rPr>
        <w:footnoteReference w:id="22"/>
      </w:r>
      <w:r w:rsidRPr="00FF7FF8">
        <w:rPr>
          <w:rFonts w:hint="eastAsia"/>
        </w:rPr>
        <w:t>、最高法院104年度第2次刑事庭會議</w:t>
      </w:r>
      <w:r w:rsidRPr="00FF7FF8">
        <w:rPr>
          <w:rStyle w:val="afc"/>
          <w:rFonts w:hAnsi="標楷體"/>
        </w:rPr>
        <w:footnoteReference w:id="23"/>
      </w:r>
      <w:r w:rsidRPr="00FF7FF8">
        <w:rPr>
          <w:rFonts w:hint="eastAsia"/>
        </w:rPr>
        <w:t>均認為</w:t>
      </w:r>
      <w:r w:rsidRPr="00FF7FF8">
        <w:rPr>
          <w:rFonts w:hint="eastAsia"/>
        </w:rPr>
        <w:lastRenderedPageBreak/>
        <w:t>「附命戒癮治療之緩起訴處分」，與「觀察、勒戒或強制戒治」處於擇一適用關係，亦即兩種制度具有相同功能，即均屬非刑罰制裁之轉向處遇機制，故如被告因違反緩起訴處分所應履行負擔（例如：被告未完成戒癮治療，或再次施用毒品），經檢察官撤銷緩起訴處分後，即不得依毒品危害防治條例第20條第1項規定</w:t>
      </w:r>
      <w:r w:rsidRPr="00FF7FF8">
        <w:rPr>
          <w:rStyle w:val="afc"/>
        </w:rPr>
        <w:footnoteReference w:id="24"/>
      </w:r>
      <w:r w:rsidRPr="00FF7FF8">
        <w:rPr>
          <w:rFonts w:hint="eastAsia"/>
        </w:rPr>
        <w:t>，聲請法院裁定被告應進行觀察勒戒。相反地，如檢察官對於被告某次施用毒品行為，如未經緩起訴處分，而逕予起訴或聲請簡易判決處刑，將違反毒品危害防治條例第20條第1項規定，屬於起訴之程序違背規定，法院應依刑事訴訟法第303條第1款，諭知公訴不受理。</w:t>
      </w:r>
    </w:p>
    <w:p w:rsidR="00DE0FBB" w:rsidRPr="00FF7FF8" w:rsidRDefault="00DE0FBB" w:rsidP="00DE0FBB">
      <w:pPr>
        <w:pStyle w:val="3"/>
      </w:pPr>
      <w:r w:rsidRPr="00FF7FF8">
        <w:rPr>
          <w:rFonts w:hint="eastAsia"/>
        </w:rPr>
        <w:t>惟查，有關施用毒品行為人</w:t>
      </w:r>
      <w:r w:rsidR="00BB2B67" w:rsidRPr="00FF7FF8">
        <w:rPr>
          <w:rFonts w:hint="eastAsia"/>
        </w:rPr>
        <w:t>，第1</w:t>
      </w:r>
      <w:r w:rsidR="00AE2BC5" w:rsidRPr="00FF7FF8">
        <w:rPr>
          <w:rFonts w:hint="eastAsia"/>
        </w:rPr>
        <w:t>次施用毒品行為，</w:t>
      </w:r>
      <w:r w:rsidRPr="00FF7FF8">
        <w:rPr>
          <w:rFonts w:hint="eastAsia"/>
        </w:rPr>
        <w:t>經附命完成戒癮治療之緩起訴處分後，第2次施用毒品遭檢警查獲，惟第2次施用毒品</w:t>
      </w:r>
      <w:r w:rsidR="00AE2BC5" w:rsidRPr="00FF7FF8">
        <w:rPr>
          <w:rFonts w:hint="eastAsia"/>
        </w:rPr>
        <w:t>行為之</w:t>
      </w:r>
      <w:r w:rsidRPr="00FF7FF8">
        <w:rPr>
          <w:rFonts w:hint="eastAsia"/>
        </w:rPr>
        <w:t>時</w:t>
      </w:r>
      <w:r w:rsidR="00AE2BC5" w:rsidRPr="00FF7FF8">
        <w:rPr>
          <w:rFonts w:hint="eastAsia"/>
        </w:rPr>
        <w:t>點</w:t>
      </w:r>
      <w:r w:rsidRPr="00FF7FF8">
        <w:rPr>
          <w:rFonts w:hint="eastAsia"/>
        </w:rPr>
        <w:t>，係在第1次緩起訴處分前，則先前第1次施用毒品緩起訴處分之效力，是否及於第2次施用毒品行為，近來最高法院有2則非常上訴判決，</w:t>
      </w:r>
      <w:r w:rsidR="009E7A00" w:rsidRPr="00FF7FF8">
        <w:rPr>
          <w:rFonts w:hint="eastAsia"/>
        </w:rPr>
        <w:t>似有</w:t>
      </w:r>
      <w:r w:rsidRPr="00FF7FF8">
        <w:rPr>
          <w:rFonts w:hint="eastAsia"/>
        </w:rPr>
        <w:t>不同見解：</w:t>
      </w:r>
    </w:p>
    <w:p w:rsidR="00DE0FBB" w:rsidRPr="00FF7FF8" w:rsidRDefault="00DE0FBB" w:rsidP="00DE0FBB">
      <w:pPr>
        <w:pStyle w:val="4"/>
      </w:pPr>
      <w:r w:rsidRPr="00FF7FF8">
        <w:rPr>
          <w:rFonts w:hint="eastAsia"/>
        </w:rPr>
        <w:t>最高法院105年度台非字第29號判決略以：</w:t>
      </w:r>
    </w:p>
    <w:p w:rsidR="00DE0FBB" w:rsidRPr="00FF7FF8" w:rsidRDefault="00DE0FBB" w:rsidP="00DE0FBB">
      <w:pPr>
        <w:pStyle w:val="5"/>
      </w:pPr>
      <w:r w:rsidRPr="00FF7FF8">
        <w:rPr>
          <w:rFonts w:hint="eastAsia"/>
        </w:rPr>
        <w:t>查本案被告於102年9月23日晚間11時施用第二級毒品（下稱甲罪），經臺北</w:t>
      </w:r>
      <w:r w:rsidR="007308A4" w:rsidRPr="00FF7FF8">
        <w:rPr>
          <w:rFonts w:hAnsi="標楷體" w:hint="eastAsia"/>
        </w:rPr>
        <w:t>地方檢察署</w:t>
      </w:r>
      <w:r w:rsidRPr="00FF7FF8">
        <w:rPr>
          <w:rFonts w:hint="eastAsia"/>
        </w:rPr>
        <w:t>檢察官於同年12月23日以102年度毒偵字第3346號</w:t>
      </w:r>
      <w:r w:rsidRPr="00FF7FF8">
        <w:rPr>
          <w:rFonts w:hint="eastAsia"/>
        </w:rPr>
        <w:lastRenderedPageBreak/>
        <w:t>為附命完成戒癮治療之緩起訴處分，於103年1月13日確定，緩起訴期間自確定日起算至105年1月12日為止；被告於上開緩起訴處分前之102年11月20日另犯施用第二級毒品罪（下稱乙罪），</w:t>
      </w:r>
      <w:r w:rsidR="00057312" w:rsidRPr="00FF7FF8">
        <w:rPr>
          <w:rFonts w:hint="eastAsia"/>
        </w:rPr>
        <w:t>臺灣新北地方檢察署檢察官於聲請觀察勒戒遭臺</w:t>
      </w:r>
      <w:r w:rsidRPr="00FF7FF8">
        <w:rPr>
          <w:rFonts w:hint="eastAsia"/>
        </w:rPr>
        <w:t>灣新北地方法院以103年度毒聲字第206號裁定駁回確定後，旋將案件移轉於臺北</w:t>
      </w:r>
      <w:r w:rsidR="007308A4" w:rsidRPr="00FF7FF8">
        <w:rPr>
          <w:rFonts w:hAnsi="標楷體" w:hint="eastAsia"/>
        </w:rPr>
        <w:t>地方檢察署</w:t>
      </w:r>
      <w:r w:rsidRPr="00FF7FF8">
        <w:rPr>
          <w:rFonts w:hint="eastAsia"/>
        </w:rPr>
        <w:t>以103年度偵字第1333號案件偵辦，經該署檢察官於103年5月27日以乙罪行為，係在甲罪緩起訴處分作成之前，且被告仍於緩起訴處分期間，而予以簽結，併入前案（即上述102年度毒偵字第3346號案件），並說明應適用該案同一毒品戒癮治療程序，且註明日後有撤銷緩起訴處分之情事，再一併分案偵辦等情，有103年5月27日簽文附卷可考。足見上開緩起訴處分所附條件即戒癮治療之範圍，已含括被告上述執行戒癮治療處分前之甲、乙二罪之施用第二級毒品行為甚明。嗣因被告未於緩起訴期間內履行緩起訴處分所附命令，再於103年12月25日再犯施用第二級毒品罪（下稱丙罪），該緩起訴經撤銷確定。前開甲、乙、丙三罪，經臺北</w:t>
      </w:r>
      <w:r w:rsidR="007308A4" w:rsidRPr="00FF7FF8">
        <w:rPr>
          <w:rFonts w:hAnsi="標楷體" w:hint="eastAsia"/>
        </w:rPr>
        <w:t>地方檢察署</w:t>
      </w:r>
      <w:r w:rsidRPr="00FF7FF8">
        <w:rPr>
          <w:rFonts w:hint="eastAsia"/>
        </w:rPr>
        <w:t>檢察官以104年度撤緩毒偵字第71號、第72號、104年度毒偵字第520號聲請簡易判決處刑</w:t>
      </w:r>
      <w:r w:rsidR="00057312" w:rsidRPr="00FF7FF8">
        <w:rPr>
          <w:rFonts w:hint="eastAsia"/>
        </w:rPr>
        <w:t>，由臺</w:t>
      </w:r>
      <w:r w:rsidRPr="00FF7FF8">
        <w:rPr>
          <w:rFonts w:hint="eastAsia"/>
        </w:rPr>
        <w:t>灣臺北地方法院以104年度簡字第1547號判決甲、丙二罪罪刑並定應執行有期徒刑5月確定，另以104年度易字第593號判決乙罪部分公訴不受理，檢察官不服提起上訴，經原審駁回上訴確定。有各該案卷及裁定書、判決書可稽。</w:t>
      </w:r>
    </w:p>
    <w:p w:rsidR="00DE0FBB" w:rsidRPr="00FF7FF8" w:rsidRDefault="00DE0FBB" w:rsidP="00DE0FBB">
      <w:pPr>
        <w:pStyle w:val="5"/>
      </w:pPr>
      <w:r w:rsidRPr="00FF7FF8">
        <w:rPr>
          <w:rFonts w:hint="eastAsia"/>
        </w:rPr>
        <w:t>揆諸前揭說明，被告本件施用第二級毒品犯行</w:t>
      </w:r>
      <w:r w:rsidRPr="00FF7FF8">
        <w:rPr>
          <w:rFonts w:hint="eastAsia"/>
        </w:rPr>
        <w:lastRenderedPageBreak/>
        <w:t>（即乙罪），雖於甲罪後再犯，其事實上已接受等同「觀察、勒戒」之命完成戒癮治療處遇，顯見原規劃之制度功能已無法發揮成效，自得依毒品危害防制條例第23條第2項或第24條第2項規定之相同法理，逕行提起公訴，無再依同條例第20條第1項重為聲請觀察、勒戒必要。詎第一審判決未察，竟認被告應先經觀察、勒戒程序或另依法為緩起訴處分而判決公訴不受理，即不無應為實體上審判，而誤為不受理判決之違背法令。原判決未加糾正，而予以維持，並駁回檢察官在第二審之上訴，同有適用法則不當之違背法令。案經確定，雖非不利於被告，但非常上訴理由書已具體敘述本項法律見解，具有原則上之重要性，亦即所涉及之法律問題意義重大，而有加以闡釋釐清必要之理由，且查本件犯行經聲請觀察、勒戒復經第一審法院駁回在案，已如前述，為免同案異判，應認有提起非常上訴之必要性。</w:t>
      </w:r>
    </w:p>
    <w:p w:rsidR="00DE0FBB" w:rsidRPr="00FF7FF8" w:rsidRDefault="00DE0FBB" w:rsidP="00DE0FBB">
      <w:pPr>
        <w:pStyle w:val="4"/>
      </w:pPr>
      <w:r w:rsidRPr="00FF7FF8">
        <w:rPr>
          <w:rFonts w:hint="eastAsia"/>
        </w:rPr>
        <w:t>最高法院106年度台非字第220號判決略以：</w:t>
      </w:r>
    </w:p>
    <w:p w:rsidR="00DE0FBB" w:rsidRPr="00FF7FF8" w:rsidRDefault="00DE0FBB" w:rsidP="00647F18">
      <w:pPr>
        <w:pStyle w:val="42"/>
        <w:ind w:left="1701" w:firstLine="680"/>
        <w:rPr>
          <w:rFonts w:hAnsi="標楷體"/>
          <w:u w:val="single"/>
        </w:rPr>
      </w:pPr>
      <w:r w:rsidRPr="00FF7FF8">
        <w:rPr>
          <w:rFonts w:hAnsi="標楷體" w:hint="eastAsia"/>
        </w:rPr>
        <w:t>本院100年度第1次、104年度第2次刑事庭會議決議並分別以……（略），惟毒品危害防制條例第24條第2項所規範及上開決議內容所認應逕行起訴者，分別係經檢察官「附命緩起訴」之該次犯行及「附命緩起訴」確定後5年內之施用第一級或第二級毒品犯行，並不及於「附命緩起訴」確定前之其他施用第一級或第二級毒品犯行。本件被告甲○○前因施用毒品案件，經臺灣新竹地方檢察署檢察官以104年度毒偵字第95號為附命完成戒癮治療之緩起訴處分，緩起訴期間為104年6月1日起至105年11月30日止（下稱前案），有</w:t>
      </w:r>
      <w:r w:rsidRPr="00FF7FF8">
        <w:rPr>
          <w:rFonts w:hAnsi="標楷體" w:hint="eastAsia"/>
        </w:rPr>
        <w:lastRenderedPageBreak/>
        <w:t>該緩起訴處分書、完整矯正簡表及全國刑案資料查註表在卷可稽。被告於前案緩起訴處分前之104年3月7日某時施用第二級毒品，是被告於本件施用毒品時，並未曾受「觀察、勒戒或強制戒治」，亦未曾受「等同於觀察、勒戒或強制戒治」之處遇，揆諸前揭說明，即與毒品危害防制條例之法定訴追要件不符，起訴之程序自屬違背規定，應為不受理之判決。原審未諭知不受理判決，竟因檢察官聲請而以簡易判決處刑判處有期徒刑3月，自有適用法則不當之違背法令。</w:t>
      </w:r>
    </w:p>
    <w:p w:rsidR="00DE0FBB" w:rsidRPr="00FF7FF8" w:rsidRDefault="00DE0FBB" w:rsidP="00DE0FBB">
      <w:pPr>
        <w:pStyle w:val="3"/>
      </w:pPr>
      <w:r w:rsidRPr="00FF7FF8">
        <w:rPr>
          <w:rFonts w:hint="eastAsia"/>
        </w:rPr>
        <w:t>簡言之，上開最高法院105年度台非字第29號判決認為，第2次施用毒品之行為，雖係查獲在後，惟施用毒品之行為時點係在第1次施用毒品經檢察官緩起訴處分前，故第2次施用毒品亦為該次緩起訴效力所及，法院應實體審理，不得諭知公訴不受理。但是，最高法院106年度台非字第220號判決則認為，第1次施用毒品緩起訴處分效力，不及於第2次施用毒品，仍得依毒品危害防制條例第20條第1項為觀察勒戒之轉向處遇，故如檢察官起訴或聲請簡易判決處刑，法院不得為實體審理，應諭知公訴不受理。</w:t>
      </w:r>
    </w:p>
    <w:p w:rsidR="00AC4633" w:rsidRPr="00FF7FF8" w:rsidRDefault="00DE0FBB" w:rsidP="005A06E2">
      <w:pPr>
        <w:pStyle w:val="3"/>
      </w:pPr>
      <w:r w:rsidRPr="00FF7FF8">
        <w:rPr>
          <w:rFonts w:hint="eastAsia"/>
        </w:rPr>
        <w:t>綜上，</w:t>
      </w:r>
      <w:r w:rsidR="00702CF9" w:rsidRPr="00FF7FF8">
        <w:rPr>
          <w:rFonts w:hint="eastAsia"/>
        </w:rPr>
        <w:t>被告第1次施用毒品之案件為緩起訴處分後，第2次施用毒品遭查獲，並發覺第2次施用毒品行為係在該次緩起訴處分之前，然其處理方式，引發最高法院105年度台非字第29號判決、106年度台非字第220號判決2則非常上訴判決之歧異見解。究竟檢察官對於被告第1次施用毒品為緩起訴處分後，被告第2次施用毒品，雖係查獲在後，但行為時係在緩起訴處分前，是否亦為該次緩起訴效力所及，似須進一步研議釐清</w:t>
      </w:r>
      <w:r w:rsidRPr="00FF7FF8">
        <w:rPr>
          <w:rFonts w:hint="eastAsia"/>
        </w:rPr>
        <w:t>。</w:t>
      </w:r>
    </w:p>
    <w:p w:rsidR="00E25849" w:rsidRPr="00FF7FF8" w:rsidRDefault="00672417" w:rsidP="004E05A1">
      <w:pPr>
        <w:pStyle w:val="1"/>
        <w:ind w:left="2380" w:hanging="2380"/>
        <w:rPr>
          <w:rFonts w:hAnsi="標楷體"/>
        </w:rPr>
      </w:pPr>
      <w:r w:rsidRPr="00FF7FF8">
        <w:rPr>
          <w:rFonts w:hAnsi="標楷體" w:hint="eastAsia"/>
        </w:rPr>
        <w:lastRenderedPageBreak/>
        <w:t>處理辦法：</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B7770" w:rsidRPr="00FF7FF8" w:rsidRDefault="00FB7770" w:rsidP="00FB7770">
      <w:pPr>
        <w:pStyle w:val="2"/>
        <w:rPr>
          <w:rFonts w:hAnsi="標楷體"/>
        </w:rPr>
      </w:pPr>
      <w:bookmarkStart w:id="52" w:name="_Toc524895649"/>
      <w:bookmarkStart w:id="53" w:name="_Toc524896195"/>
      <w:bookmarkStart w:id="54" w:name="_Toc524896225"/>
      <w:bookmarkStart w:id="55" w:name="_Toc70241820"/>
      <w:bookmarkStart w:id="56" w:name="_Toc70242209"/>
      <w:bookmarkStart w:id="57" w:name="_Toc421794876"/>
      <w:bookmarkStart w:id="58" w:name="_Toc421795442"/>
      <w:bookmarkStart w:id="59" w:name="_Toc421796023"/>
      <w:bookmarkStart w:id="60" w:name="_Toc422728958"/>
      <w:bookmarkStart w:id="61" w:name="_Toc422834161"/>
      <w:bookmarkStart w:id="62" w:name="_Toc2400396"/>
      <w:bookmarkStart w:id="63" w:name="_Toc4316190"/>
      <w:bookmarkStart w:id="64" w:name="_Toc4473331"/>
      <w:bookmarkStart w:id="65" w:name="_Toc69556898"/>
      <w:bookmarkStart w:id="66" w:name="_Toc69556947"/>
      <w:bookmarkStart w:id="67" w:name="_Toc69609821"/>
      <w:bookmarkStart w:id="68" w:name="_Toc70241817"/>
      <w:bookmarkStart w:id="69" w:name="_Toc70242206"/>
      <w:bookmarkStart w:id="70" w:name="_Toc524902735"/>
      <w:bookmarkStart w:id="71" w:name="_Toc525066149"/>
      <w:bookmarkStart w:id="72" w:name="_Toc525070840"/>
      <w:bookmarkStart w:id="73" w:name="_Toc525938380"/>
      <w:bookmarkStart w:id="74" w:name="_Toc525939228"/>
      <w:bookmarkStart w:id="75" w:name="_Toc525939733"/>
      <w:bookmarkStart w:id="76" w:name="_Toc529218273"/>
      <w:bookmarkStart w:id="77" w:name="_Toc529222690"/>
      <w:bookmarkStart w:id="78" w:name="_Toc529223112"/>
      <w:bookmarkStart w:id="79" w:name="_Toc529223863"/>
      <w:bookmarkStart w:id="80" w:name="_Toc529228266"/>
      <w:bookmarkEnd w:id="52"/>
      <w:bookmarkEnd w:id="53"/>
      <w:bookmarkEnd w:id="54"/>
      <w:r w:rsidRPr="00FF7FF8">
        <w:rPr>
          <w:rFonts w:hAnsi="標楷體" w:hint="eastAsia"/>
        </w:rPr>
        <w:t>調查意見，</w:t>
      </w:r>
      <w:r w:rsidR="00AC4633" w:rsidRPr="00FF7FF8">
        <w:rPr>
          <w:rFonts w:hAnsi="標楷體" w:hint="eastAsia"/>
        </w:rPr>
        <w:t>函請法務部研</w:t>
      </w:r>
      <w:r w:rsidR="00604F8D" w:rsidRPr="00FF7FF8">
        <w:rPr>
          <w:rFonts w:hAnsi="標楷體" w:hint="eastAsia"/>
        </w:rPr>
        <w:t>處</w:t>
      </w:r>
      <w:r w:rsidR="00AC4633" w:rsidRPr="00FF7FF8">
        <w:rPr>
          <w:rFonts w:hAnsi="標楷體" w:hint="eastAsia"/>
        </w:rPr>
        <w:t>見復</w:t>
      </w:r>
      <w:r w:rsidRPr="00FF7FF8">
        <w:rPr>
          <w:rFonts w:hAnsi="標楷體" w:hint="eastAsia"/>
        </w:rPr>
        <w:t>。</w:t>
      </w:r>
      <w:bookmarkEnd w:id="55"/>
      <w:bookmarkEnd w:id="56"/>
      <w:bookmarkEnd w:id="57"/>
      <w:bookmarkEnd w:id="58"/>
      <w:bookmarkEnd w:id="59"/>
      <w:bookmarkEnd w:id="60"/>
      <w:bookmarkEnd w:id="61"/>
    </w:p>
    <w:p w:rsidR="00AC4633" w:rsidRPr="00FF7FF8" w:rsidRDefault="00AC4633" w:rsidP="00FB7770">
      <w:pPr>
        <w:pStyle w:val="2"/>
        <w:rPr>
          <w:rFonts w:hAnsi="標楷體"/>
        </w:rPr>
      </w:pPr>
      <w:r w:rsidRPr="00FF7FF8">
        <w:rPr>
          <w:rFonts w:hAnsi="標楷體" w:hint="eastAsia"/>
        </w:rPr>
        <w:t>調查意見</w:t>
      </w:r>
      <w:r w:rsidR="00D67E79" w:rsidRPr="00FF7FF8">
        <w:rPr>
          <w:rFonts w:hAnsi="標楷體" w:hint="eastAsia"/>
        </w:rPr>
        <w:t>二</w:t>
      </w:r>
      <w:r w:rsidRPr="00FF7FF8">
        <w:rPr>
          <w:rFonts w:hAnsi="標楷體" w:hint="eastAsia"/>
        </w:rPr>
        <w:t>、</w:t>
      </w:r>
      <w:r w:rsidR="00DE0FBB" w:rsidRPr="00FF7FF8">
        <w:rPr>
          <w:rFonts w:hAnsi="標楷體" w:hint="eastAsia"/>
        </w:rPr>
        <w:t>三</w:t>
      </w:r>
      <w:r w:rsidRPr="00FF7FF8">
        <w:rPr>
          <w:rFonts w:hAnsi="標楷體" w:hint="eastAsia"/>
        </w:rPr>
        <w:t>，函請</w:t>
      </w:r>
      <w:r w:rsidR="00062664" w:rsidRPr="00FF7FF8">
        <w:rPr>
          <w:rFonts w:hAnsi="標楷體" w:hint="eastAsia"/>
        </w:rPr>
        <w:t>臺灣</w:t>
      </w:r>
      <w:r w:rsidRPr="00FF7FF8">
        <w:rPr>
          <w:rFonts w:hAnsi="標楷體" w:hint="eastAsia"/>
        </w:rPr>
        <w:t>新北地方檢察</w:t>
      </w:r>
      <w:r w:rsidR="00FF1AF4" w:rsidRPr="00FF7FF8">
        <w:rPr>
          <w:rFonts w:hAnsi="標楷體" w:hint="eastAsia"/>
        </w:rPr>
        <w:t>署</w:t>
      </w:r>
      <w:r w:rsidRPr="00FF7FF8">
        <w:rPr>
          <w:rFonts w:hAnsi="標楷體" w:hint="eastAsia"/>
        </w:rPr>
        <w:t>研</w:t>
      </w:r>
      <w:r w:rsidR="00604F8D" w:rsidRPr="00FF7FF8">
        <w:rPr>
          <w:rFonts w:hAnsi="標楷體" w:hint="eastAsia"/>
        </w:rPr>
        <w:t>處</w:t>
      </w:r>
      <w:r w:rsidRPr="00FF7FF8">
        <w:rPr>
          <w:rFonts w:hAnsi="標楷體" w:hint="eastAsia"/>
        </w:rPr>
        <w:t>見復。</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rsidR="00E25849" w:rsidRPr="00FF7FF8" w:rsidRDefault="00CB44F4" w:rsidP="00AE067D">
      <w:pPr>
        <w:pStyle w:val="aa"/>
        <w:spacing w:beforeLines="50" w:before="228" w:after="0"/>
        <w:ind w:leftChars="1100" w:left="3742"/>
        <w:rPr>
          <w:rFonts w:hAnsi="標楷體"/>
          <w:b w:val="0"/>
          <w:bCs/>
          <w:snapToGrid/>
          <w:spacing w:val="0"/>
          <w:kern w:val="0"/>
          <w:sz w:val="40"/>
        </w:rPr>
      </w:pPr>
      <w:r>
        <w:rPr>
          <w:rFonts w:hAnsi="標楷體" w:hint="eastAsia"/>
          <w:b w:val="0"/>
          <w:bCs/>
          <w:snapToGrid/>
          <w:spacing w:val="12"/>
          <w:kern w:val="0"/>
          <w:sz w:val="40"/>
        </w:rPr>
        <w:t>調查委員林雅鋒、劉德勳</w:t>
      </w:r>
    </w:p>
    <w:p w:rsidR="00E25849" w:rsidRPr="00FF7FF8" w:rsidRDefault="00E25849">
      <w:pPr>
        <w:pStyle w:val="aa"/>
        <w:spacing w:before="0" w:after="0"/>
        <w:ind w:leftChars="1100" w:left="3742" w:firstLineChars="500" w:firstLine="2021"/>
        <w:rPr>
          <w:rFonts w:hAnsi="標楷體"/>
          <w:b w:val="0"/>
          <w:bCs/>
          <w:snapToGrid/>
          <w:spacing w:val="12"/>
          <w:kern w:val="0"/>
        </w:rPr>
      </w:pPr>
    </w:p>
    <w:p w:rsidR="00E25849" w:rsidRPr="00FF7FF8" w:rsidRDefault="00E25849">
      <w:pPr>
        <w:pStyle w:val="aa"/>
        <w:spacing w:before="0" w:after="0"/>
        <w:ind w:leftChars="1100" w:left="3742" w:firstLineChars="500" w:firstLine="2021"/>
        <w:rPr>
          <w:rFonts w:hAnsi="標楷體"/>
          <w:b w:val="0"/>
          <w:bCs/>
          <w:snapToGrid/>
          <w:spacing w:val="12"/>
          <w:kern w:val="0"/>
        </w:rPr>
      </w:pPr>
    </w:p>
    <w:p w:rsidR="00E25849" w:rsidRPr="00FF7FF8" w:rsidRDefault="00E25849">
      <w:pPr>
        <w:pStyle w:val="aa"/>
        <w:spacing w:before="0" w:after="0"/>
        <w:ind w:leftChars="1100" w:left="3742" w:firstLineChars="500" w:firstLine="2021"/>
        <w:rPr>
          <w:rFonts w:hAnsi="標楷體"/>
          <w:b w:val="0"/>
          <w:bCs/>
          <w:snapToGrid/>
          <w:spacing w:val="12"/>
          <w:kern w:val="0"/>
        </w:rPr>
      </w:pPr>
    </w:p>
    <w:p w:rsidR="00B77D18" w:rsidRPr="00FF7FF8" w:rsidRDefault="00B77D18" w:rsidP="00216A63">
      <w:pPr>
        <w:widowControl/>
        <w:overflowPunct/>
        <w:autoSpaceDE/>
        <w:autoSpaceDN/>
        <w:jc w:val="left"/>
        <w:rPr>
          <w:rFonts w:hAnsi="標楷體"/>
          <w:bCs/>
          <w:kern w:val="0"/>
        </w:rPr>
      </w:pPr>
      <w:bookmarkStart w:id="81" w:name="_GoBack"/>
      <w:bookmarkEnd w:id="81"/>
    </w:p>
    <w:sectPr w:rsidR="00B77D18" w:rsidRPr="00FF7FF8" w:rsidSect="00931A10">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34F" w:rsidRDefault="0025434F">
      <w:r>
        <w:separator/>
      </w:r>
    </w:p>
  </w:endnote>
  <w:endnote w:type="continuationSeparator" w:id="0">
    <w:p w:rsidR="0025434F" w:rsidRDefault="00254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D5" w:rsidRDefault="004877D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73FF8">
      <w:rPr>
        <w:rStyle w:val="ac"/>
        <w:noProof/>
        <w:sz w:val="24"/>
      </w:rPr>
      <w:t>41</w:t>
    </w:r>
    <w:r>
      <w:rPr>
        <w:rStyle w:val="ac"/>
        <w:sz w:val="24"/>
      </w:rPr>
      <w:fldChar w:fldCharType="end"/>
    </w:r>
  </w:p>
  <w:p w:rsidR="004877D5" w:rsidRDefault="004877D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34F" w:rsidRDefault="0025434F">
      <w:r>
        <w:separator/>
      </w:r>
    </w:p>
  </w:footnote>
  <w:footnote w:type="continuationSeparator" w:id="0">
    <w:p w:rsidR="0025434F" w:rsidRDefault="0025434F">
      <w:r>
        <w:continuationSeparator/>
      </w:r>
    </w:p>
  </w:footnote>
  <w:footnote w:id="1">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紀致光，〈緩起訴處分戒癮治療之回顧與展望〉，犯罪學期刊第17卷第2期，103年，頁193-212。</w:t>
      </w:r>
    </w:p>
  </w:footnote>
  <w:footnote w:id="2">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附命完成戒癮治療緩起訴處分之比率15%約等於1/6.67，亦即6-7件中要有1件緩起訴處分，才能達到標準，此為前述「6綁1」政策之由來。</w:t>
      </w:r>
    </w:p>
  </w:footnote>
  <w:footnote w:id="3">
    <w:p w:rsidR="004877D5" w:rsidRPr="00FF7FF8" w:rsidRDefault="004877D5" w:rsidP="0063735A">
      <w:pPr>
        <w:pStyle w:val="afa"/>
        <w:wordWrap w:val="0"/>
        <w:spacing w:line="320" w:lineRule="exact"/>
      </w:pPr>
      <w:r w:rsidRPr="00FF7FF8">
        <w:rPr>
          <w:rStyle w:val="afc"/>
        </w:rPr>
        <w:footnoteRef/>
      </w:r>
      <w:r w:rsidRPr="00FF7FF8">
        <w:t xml:space="preserve"> </w:t>
      </w:r>
      <w:r w:rsidRPr="00FF7FF8">
        <w:rPr>
          <w:rFonts w:hint="eastAsia"/>
        </w:rPr>
        <w:t>法務部107年8月20日法檢字第10700152410號函。</w:t>
      </w:r>
    </w:p>
  </w:footnote>
  <w:footnote w:id="4">
    <w:p w:rsidR="004877D5" w:rsidRPr="00FF7FF8" w:rsidRDefault="004877D5" w:rsidP="0063735A">
      <w:pPr>
        <w:pStyle w:val="afa"/>
        <w:wordWrap w:val="0"/>
        <w:spacing w:line="320" w:lineRule="exact"/>
      </w:pPr>
      <w:r w:rsidRPr="00FF7FF8">
        <w:rPr>
          <w:rStyle w:val="afc"/>
        </w:rPr>
        <w:footnoteRef/>
      </w:r>
      <w:r w:rsidRPr="00FF7FF8">
        <w:t xml:space="preserve"> </w:t>
      </w:r>
      <w:r w:rsidRPr="00FF7FF8">
        <w:rPr>
          <w:rFonts w:hint="eastAsia"/>
        </w:rPr>
        <w:t>法務部107年5月3日法檢字第10704511420號函。</w:t>
      </w:r>
    </w:p>
  </w:footnote>
  <w:footnote w:id="5">
    <w:p w:rsidR="004877D5" w:rsidRPr="00FF7FF8" w:rsidRDefault="004877D5" w:rsidP="0063735A">
      <w:pPr>
        <w:pStyle w:val="afa"/>
        <w:wordWrap w:val="0"/>
        <w:spacing w:line="320" w:lineRule="exact"/>
      </w:pPr>
      <w:r w:rsidRPr="00FF7FF8">
        <w:rPr>
          <w:rStyle w:val="afc"/>
        </w:rPr>
        <w:footnoteRef/>
      </w:r>
      <w:r w:rsidRPr="00FF7FF8">
        <w:t xml:space="preserve"> </w:t>
      </w:r>
      <w:r w:rsidRPr="00FF7FF8">
        <w:rPr>
          <w:rFonts w:hint="eastAsia"/>
        </w:rPr>
        <w:t>即表3第一、二級施用毒品之附命完成戒癮治療人數總和後除以起訴及緩起訴處分人數總和之比率。計算式：(1,873+6,687)/(14,755+33,789)*100%。</w:t>
      </w:r>
    </w:p>
  </w:footnote>
  <w:footnote w:id="6">
    <w:p w:rsidR="004877D5" w:rsidRPr="00FF7FF8" w:rsidRDefault="004877D5" w:rsidP="0063735A">
      <w:pPr>
        <w:pStyle w:val="afa"/>
        <w:wordWrap w:val="0"/>
        <w:spacing w:line="320" w:lineRule="exact"/>
      </w:pPr>
      <w:r w:rsidRPr="00FF7FF8">
        <w:rPr>
          <w:rStyle w:val="afc"/>
        </w:rPr>
        <w:footnoteRef/>
      </w:r>
      <w:r w:rsidR="00FE1C71">
        <w:rPr>
          <w:rFonts w:hint="eastAsia"/>
        </w:rPr>
        <w:t xml:space="preserve"> 法務部107年5月3日法檢字第10704511420號函。</w:t>
      </w:r>
    </w:p>
  </w:footnote>
  <w:footnote w:id="7">
    <w:p w:rsidR="004877D5" w:rsidRPr="00FF7FF8" w:rsidRDefault="004877D5" w:rsidP="0063735A">
      <w:pPr>
        <w:pStyle w:val="afa"/>
        <w:wordWrap w:val="0"/>
        <w:spacing w:line="320" w:lineRule="exact"/>
      </w:pPr>
      <w:r w:rsidRPr="00FF7FF8">
        <w:rPr>
          <w:rStyle w:val="afc"/>
        </w:rPr>
        <w:footnoteRef/>
      </w:r>
      <w:r w:rsidR="00FE1C71">
        <w:rPr>
          <w:rFonts w:hint="eastAsia"/>
        </w:rPr>
        <w:t xml:space="preserve"> 法務部107年5月3日法檢字第10704511420號函。</w:t>
      </w:r>
    </w:p>
  </w:footnote>
  <w:footnote w:id="8">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刑事訴訟法第253條之3：「（第1項）被告於緩起訴期間內，有左列情形之一者，檢察官得依職權或依告訴人之聲請撤銷原處分，繼續偵查或起訴：一、於期間內故意更犯有期徒刑以上刑之罪，經檢察官提起公訴者。二、緩起訴前，因故意犯他罪，而在緩起訴期間內受有期徒刑以上刑之宣告者。三、違背第253條之2第1項各款之應遵守或履行事項者。（第2項）檢察官撤銷緩起訴之處分時，被告已履行之部分，不得請求返還或賠償。」</w:t>
      </w:r>
    </w:p>
  </w:footnote>
  <w:footnote w:id="9">
    <w:p w:rsidR="004877D5" w:rsidRPr="00FF7FF8" w:rsidRDefault="004877D5" w:rsidP="00502F59">
      <w:pPr>
        <w:pStyle w:val="afa"/>
      </w:pPr>
      <w:r w:rsidRPr="00FF7FF8">
        <w:rPr>
          <w:rStyle w:val="afc"/>
        </w:rPr>
        <w:footnoteRef/>
      </w:r>
      <w:r w:rsidRPr="00FF7FF8">
        <w:rPr>
          <w:rFonts w:hint="eastAsia"/>
        </w:rPr>
        <w:t xml:space="preserve"> 楊冀華（臺灣臺北地方檢察署檢察官），〈美國毒品法庭計畫與我國附命完成戒癮治療緩起訴處分之比較〉，矯正期刊第6卷第2期，106年7月，頁20-44。</w:t>
      </w:r>
    </w:p>
  </w:footnote>
  <w:footnote w:id="10">
    <w:p w:rsidR="004877D5" w:rsidRPr="00FF7FF8" w:rsidRDefault="004877D5" w:rsidP="00A225CD">
      <w:pPr>
        <w:pStyle w:val="afa"/>
        <w:spacing w:line="280" w:lineRule="exact"/>
        <w:ind w:firstLineChars="1" w:firstLine="2"/>
        <w:jc w:val="both"/>
      </w:pPr>
      <w:r w:rsidRPr="00FF7FF8">
        <w:rPr>
          <w:rStyle w:val="afc"/>
        </w:rPr>
        <w:footnoteRef/>
      </w:r>
      <w:r w:rsidRPr="00FF7FF8">
        <w:rPr>
          <w:rFonts w:hint="eastAsia"/>
        </w:rPr>
        <w:t xml:space="preserve"> 法務部於100年5月5日以法檢字第1000802701號函要求所屬地方檢察署，就「提高緩起訴處分附命戒癮治療人數」計畫部分，達到具體績效考核標準12％以上，將定期考核各地方檢察署執行成效，以求將毒品施用者處遇轉向醫療系統，導向正確之醫療戒治、身心復健與社會復歸管道。</w:t>
      </w:r>
    </w:p>
  </w:footnote>
  <w:footnote w:id="11">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96年8月21日最高法院96年度第9次刑事庭會議法律問題：行為人於一段時日內反覆多次施用第一級毒品海洛因或第二級毒品安非他命之行為，在民國95年7月1日前之刑法尚未刪除第56條連續犯之規定前，司法實務上大抵視為連續犯而依連犯之規定論處。刑法修正公布刪除第56條連續犯之規定，於95年7月1日施行後，原依連續犯論以一罪者，究採一罪一罰，予以分論併罰？抑依接續犯、集合犯而論以一罪？設某甲基於施用毒品之犯意，於一段時日內反覆多次施用第一級毒品海洛因或第二級毒品安非他命，其施用行為跨越95年7月1日修正刑法施行之前及後，究應如何論罪？有甲、乙、丙、丁四說。</w:t>
      </w:r>
    </w:p>
    <w:p w:rsidR="004877D5" w:rsidRPr="00FF7FF8" w:rsidRDefault="004877D5" w:rsidP="0063735A">
      <w:pPr>
        <w:pStyle w:val="afa"/>
        <w:wordWrap w:val="0"/>
        <w:spacing w:line="320" w:lineRule="exact"/>
        <w:ind w:firstLineChars="1" w:firstLine="2"/>
        <w:jc w:val="both"/>
      </w:pPr>
      <w:r w:rsidRPr="00FF7FF8">
        <w:rPr>
          <w:rFonts w:hint="eastAsia"/>
        </w:rPr>
        <w:t>本件決議採</w:t>
      </w:r>
      <w:r w:rsidRPr="00FF7FF8">
        <w:rPr>
          <w:rFonts w:hint="eastAsia"/>
          <w:b/>
        </w:rPr>
        <w:t>丁說（一罪一罰說）</w:t>
      </w:r>
      <w:r w:rsidRPr="00FF7FF8">
        <w:rPr>
          <w:rFonts w:hint="eastAsia"/>
        </w:rPr>
        <w:t>。決議文如下：</w:t>
      </w:r>
    </w:p>
    <w:p w:rsidR="004877D5" w:rsidRPr="00FF7FF8" w:rsidRDefault="004877D5" w:rsidP="0063735A">
      <w:pPr>
        <w:pStyle w:val="afa"/>
        <w:wordWrap w:val="0"/>
        <w:spacing w:line="320" w:lineRule="exact"/>
        <w:ind w:firstLineChars="1" w:firstLine="2"/>
        <w:jc w:val="both"/>
      </w:pPr>
      <w:r w:rsidRPr="00FF7FF8">
        <w:rPr>
          <w:rFonts w:hint="eastAsia"/>
        </w:rPr>
        <w:t>依刑法第56條修正理由之說明，謂「對繼續犯同一罪名之罪者，均適用連續犯之規定論處，</w:t>
      </w:r>
      <w:r w:rsidRPr="00FF7FF8">
        <w:rPr>
          <w:rFonts w:hint="eastAsia"/>
          <w:b/>
        </w:rPr>
        <w:t>不無鼓勵犯罪之嫌</w:t>
      </w:r>
      <w:r w:rsidRPr="00FF7FF8">
        <w:rPr>
          <w:rFonts w:hint="eastAsia"/>
        </w:rPr>
        <w:t>，亦使國家刑罰權之行使發生不合理之現象。」「基於連續犯原為數罪之本質及刑罰公平原則之考量，爰刪除有關連續犯之規定」等語，即係將本應各自獨立評價之數罪，回歸本來就應賦予複數法律效果之原貌。因此，</w:t>
      </w:r>
      <w:r w:rsidRPr="00FF7FF8">
        <w:rPr>
          <w:rFonts w:hint="eastAsia"/>
          <w:b/>
        </w:rPr>
        <w:t>就刑法修正施行後多次施用毒品之犯行，採一罪一罰</w:t>
      </w:r>
      <w:r w:rsidRPr="00FF7FF8">
        <w:rPr>
          <w:rFonts w:hint="eastAsia"/>
        </w:rPr>
        <w:t>，始符合立法本旨。本則法律問題，某甲於刑法修正施行前連續施用毒品部分，應依刑法第2條第1項之規定，適用修正前連續犯之規定論以一罪；刑法修正施行後之多次施用犯行，除符合接續犯之要件外，則應一罪一罰，再就刑法修正施行後之數罪，與修正前依連續犯規定所論之一罪，數罪併罰，合併定其應執行之刑。</w:t>
      </w:r>
    </w:p>
  </w:footnote>
  <w:footnote w:id="12">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王雪芳（法務部統計處專門委員），〈我國毒品緩起訴戒癮治療成效探討（一）、（二）〉，法務通訊第2847、2848期。</w:t>
      </w:r>
    </w:p>
  </w:footnote>
  <w:footnote w:id="13">
    <w:p w:rsidR="004877D5" w:rsidRPr="00FF7FF8" w:rsidRDefault="004877D5" w:rsidP="0063735A">
      <w:pPr>
        <w:pStyle w:val="afa"/>
        <w:wordWrap w:val="0"/>
        <w:spacing w:line="320" w:lineRule="exact"/>
        <w:ind w:firstLineChars="1" w:firstLine="2"/>
        <w:jc w:val="both"/>
      </w:pPr>
      <w:r w:rsidRPr="00FF7FF8">
        <w:rPr>
          <w:rStyle w:val="afc"/>
        </w:rPr>
        <w:footnoteRef/>
      </w:r>
      <w:r w:rsidRPr="00FF7FF8">
        <w:t xml:space="preserve"> </w:t>
      </w:r>
      <w:r w:rsidRPr="00FF7FF8">
        <w:rPr>
          <w:rFonts w:hint="eastAsia"/>
        </w:rPr>
        <w:t>依檢察案件編號計數分案報結實施要點第11點第1款：檢察案件，其毒品業務卷宗號數，依案件之種類，於號數上冠以字樣如下：（一）毒品危害防制條例第10條施用毒品案件：「毒偵」。</w:t>
      </w:r>
    </w:p>
  </w:footnote>
  <w:footnote w:id="14">
    <w:p w:rsidR="004877D5" w:rsidRPr="00FF7FF8" w:rsidRDefault="004877D5" w:rsidP="0063735A">
      <w:pPr>
        <w:pStyle w:val="afa"/>
        <w:wordWrap w:val="0"/>
        <w:spacing w:line="320" w:lineRule="exact"/>
      </w:pPr>
      <w:r w:rsidRPr="00FF7FF8">
        <w:rPr>
          <w:rStyle w:val="afc"/>
        </w:rPr>
        <w:footnoteRef/>
      </w:r>
      <w:r w:rsidRPr="00FF7FF8">
        <w:t xml:space="preserve"> </w:t>
      </w:r>
      <w:r w:rsidRPr="00FF7FF8">
        <w:rPr>
          <w:rFonts w:hint="eastAsia"/>
        </w:rPr>
        <w:t>網址：</w:t>
      </w:r>
      <w:hyperlink r:id="rId1" w:history="1">
        <w:r w:rsidRPr="00FF7FF8">
          <w:rPr>
            <w:rStyle w:val="ae"/>
            <w:color w:val="auto"/>
            <w:u w:val="none"/>
          </w:rPr>
          <w:t>https://m.facebook.com/story.php?story_fbid=238349086669061&amp;id=189751931528777</w:t>
        </w:r>
        <w:r w:rsidRPr="00FF7FF8">
          <w:rPr>
            <w:rStyle w:val="ae"/>
            <w:rFonts w:hint="eastAsia"/>
            <w:color w:val="auto"/>
            <w:u w:val="none"/>
          </w:rPr>
          <w:t>，上網瀏覽日期：107</w:t>
        </w:r>
      </w:hyperlink>
      <w:r w:rsidRPr="00FF7FF8">
        <w:rPr>
          <w:rFonts w:hint="eastAsia"/>
        </w:rPr>
        <w:t>年8月27日。</w:t>
      </w:r>
    </w:p>
  </w:footnote>
  <w:footnote w:id="15">
    <w:p w:rsidR="004877D5" w:rsidRPr="00FF7FF8" w:rsidRDefault="004877D5" w:rsidP="0063735A">
      <w:pPr>
        <w:pStyle w:val="afa"/>
        <w:wordWrap w:val="0"/>
        <w:spacing w:line="320" w:lineRule="exact"/>
      </w:pPr>
      <w:r w:rsidRPr="00FF7FF8">
        <w:rPr>
          <w:rStyle w:val="afc"/>
        </w:rPr>
        <w:footnoteRef/>
      </w:r>
      <w:r w:rsidR="00367073">
        <w:rPr>
          <w:rFonts w:hint="eastAsia"/>
        </w:rPr>
        <w:t xml:space="preserve"> 法務部107年5月3日法檢字第10704511420號函。</w:t>
      </w:r>
    </w:p>
  </w:footnote>
  <w:footnote w:id="16">
    <w:p w:rsidR="004877D5" w:rsidRPr="00FF7FF8" w:rsidRDefault="004877D5" w:rsidP="0063735A">
      <w:pPr>
        <w:pStyle w:val="afa"/>
        <w:wordWrap w:val="0"/>
        <w:spacing w:line="320" w:lineRule="exact"/>
        <w:ind w:firstLineChars="1" w:firstLine="2"/>
        <w:jc w:val="both"/>
      </w:pPr>
      <w:r w:rsidRPr="00FF7FF8">
        <w:rPr>
          <w:rStyle w:val="afc"/>
        </w:rPr>
        <w:footnoteRef/>
      </w:r>
      <w:r w:rsidRPr="00FF7FF8">
        <w:t xml:space="preserve"> </w:t>
      </w:r>
      <w:r w:rsidRPr="00FF7FF8">
        <w:rPr>
          <w:rFonts w:hint="eastAsia"/>
        </w:rPr>
        <w:t>法院組織法第63條規定：「（第1項）檢察總長依本法及其他法律之規定，指揮監督該署檢察官及高等法院以下各級法院及分院檢察署檢察官。（第2項）檢察長依本法及其他法律之規定，指揮監督該署檢察官及其所屬檢察署檢察官。（第3項）檢察官應服從前二項指揮監督長官之命令。」</w:t>
      </w:r>
    </w:p>
  </w:footnote>
  <w:footnote w:id="17">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法院組織法第63條規定：「檢察總長、檢察長得親自處理其所指揮監督之檢察官之事務，並得將該事務移轉於其所指揮監督之其他檢察官處理之。」</w:t>
      </w:r>
    </w:p>
  </w:footnote>
  <w:footnote w:id="18">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法官法第93條規定：「（第1項）檢察總長、檢察長於有下列各款情形之一者，得依法院組織法第64條親自處理其所指揮監督之檢察官之事務，並得將該事務移轉於其所指揮監督之其他檢察官處理：一、為求法律適用之妥適或統一追訴標準，認有必要時。二、有事實足認檢察官執行職務違背法令、顯有不當或有偏頗之虞時。三、檢察官不同意前條第二項之書面命令，經以書面陳述意見後，指揮監督長官維持原命令，其仍不遵從。四、特殊複雜或專業之案件，原檢察官無法勝任，認有移轉予其他檢察官處理之必要時。」</w:t>
      </w:r>
    </w:p>
  </w:footnote>
  <w:footnote w:id="19">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法院組織法第66條之3規定：「（第1項）檢察事務官受檢察官之指揮，處理下列事務：一、實施搜索、扣押、勘驗或執行拘提。二、詢問告訴人、告發人、被告、證人或鑑定人。三、襄助檢察官執行其他第60條所定之職權。（第2項）檢察事務官處理前項前2款事務，視為刑事訴訟法第230條第1項之司法警察官。」</w:t>
      </w:r>
    </w:p>
  </w:footnote>
  <w:footnote w:id="20">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法院組織法第66條之3：「（第1項）檢察事務官受檢察官之指揮，處理下列事務：一、實施搜索、扣押、勘驗或執行拘提。二、詢問告訴人、告發人、被告、證人或鑑定人。三、襄助檢察官執行其他第六十條所定之職權。（第2項）檢察事務官處理前項前二款事務，視為刑事訴訟法第二百三十條第一項之司法警察官。」</w:t>
      </w:r>
    </w:p>
  </w:footnote>
  <w:footnote w:id="21">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當年由謝啟大等18位立法委員提案修正法院組織法，增設「檢察事務官」一職，其目的除得襄助檢察官辦理偵查業務外，兼因檢察事務官具有法律領域外專業，而可提升檢察體系內部打擊犯罪之能量。</w:t>
      </w:r>
    </w:p>
  </w:footnote>
  <w:footnote w:id="22">
    <w:p w:rsidR="004877D5" w:rsidRPr="00FF7FF8" w:rsidRDefault="004877D5" w:rsidP="0063735A">
      <w:pPr>
        <w:pStyle w:val="afa"/>
        <w:wordWrap w:val="0"/>
        <w:spacing w:line="320" w:lineRule="exact"/>
        <w:ind w:firstLineChars="1" w:firstLine="2"/>
        <w:jc w:val="both"/>
        <w:rPr>
          <w:b/>
        </w:rPr>
      </w:pPr>
      <w:r w:rsidRPr="00FF7FF8">
        <w:rPr>
          <w:rStyle w:val="afc"/>
        </w:rPr>
        <w:footnoteRef/>
      </w:r>
      <w:r w:rsidRPr="00FF7FF8">
        <w:rPr>
          <w:rFonts w:hint="eastAsia"/>
        </w:rPr>
        <w:t xml:space="preserve"> 提案：檢察官對於「初犯」及「5年後再犯」施用毒品案件，依毒品危害防制條例第24條第1項規定為附命完成戒癮治療之緩起訴處分，嗣該緩起訴處分被撤銷確定，依同條第2項規定：「前項緩起訴處分，經撤銷者，檢察官應依法追訴」，究應直接予以起訴（或聲請簡易判決處刑）？抑或再聲請觀察勒戒？</w:t>
      </w:r>
      <w:r w:rsidRPr="00FF7FF8">
        <w:rPr>
          <w:rFonts w:hint="eastAsia"/>
          <w:b/>
        </w:rPr>
        <w:t>決議採甲說：直接予以起訴（或聲請簡易判決處刑）。</w:t>
      </w:r>
      <w:r w:rsidRPr="00FF7FF8">
        <w:rPr>
          <w:rFonts w:hint="eastAsia"/>
        </w:rPr>
        <w:t>理由：〈1〉毒品危害防制條例對於施用第一、二級毒品者，認其係具有「病患性犯人」之特質，採行觀察、勒戒以戒除其身癮之措施。犯同條例第10條之罪者，依同條例第20條、第23條之規定，將其刑事處遇程序，區分為「初犯」及「5年內再犯」、「5年後再犯」。依其立法理由之說明：「初犯」，始須經觀察、勒戒；經觀察、勒戒執行完畢釋放後，「5年內再犯」者，因其再犯率甚高，原實施之觀察、勒戒既已無法收其實效，應依法追訴。至於經觀察、勒戒執行完畢釋放後，「5年後再犯」者，前所實施之觀察、勒戒已足以遮斷其施用毒品之毒癮，為期自新及協助其斷除毒癮，仍適用「初犯」規定，先經觀察、勒戒之程序。於此，僅限於「初犯」及「5年後再犯」二種情形，始應先經觀察、勒戒程序。〈2〉復按毒品危害防制條例第24條規定：「（第1項）本法第20條第1項及第23條第2項之程序，於檢察官先依刑事訴訟法第253條之1第1項、第253條之2之規定，為附命完成戒癮治療之緩起訴處分時，或於少年法院（地方法院少年法庭）認以依少年事件處理法程序處理時，不適用之。（第2項）前項緩起訴處分，經撤銷者，檢察官應依法追訴。」係一般刑事訴訟程序之例外規定，屬刑事訴訟法第1條第1項規定之「其他法律所定之訴訟程序」。該第2項既規定，前項（第1項）緩起訴處分，經撤銷者，檢察官應依法追訴，即已明示施用毒品案件於撤銷緩起訴處分後之法律效果為「依法追訴」，而非適用刑事訴訟法第253條之3所定撤銷緩起訴處分後得「繼續偵查或起訴」規定，</w:t>
      </w:r>
      <w:r w:rsidRPr="00FF7FF8">
        <w:rPr>
          <w:rFonts w:hint="eastAsia"/>
          <w:b/>
        </w:rPr>
        <w:t>此乃因檢察官已依毒品危害防制條例第24條第1項為附命完成戒癮治療之緩起訴處分，被告事實上已接受等同「觀察、勒戒」之處遇，惟其竟未能履行該條件，自應於撤銷緩起訴處分後依法起訴，而無再次聲請法院裁定觀察、勒戒之必要。</w:t>
      </w:r>
    </w:p>
  </w:footnote>
  <w:footnote w:id="23">
    <w:p w:rsidR="004877D5" w:rsidRPr="00FF7FF8" w:rsidRDefault="004877D5" w:rsidP="0063735A">
      <w:pPr>
        <w:pStyle w:val="afa"/>
        <w:wordWrap w:val="0"/>
        <w:spacing w:line="320" w:lineRule="exact"/>
        <w:ind w:firstLineChars="1" w:firstLine="2"/>
        <w:jc w:val="both"/>
      </w:pPr>
      <w:r w:rsidRPr="00FF7FF8">
        <w:rPr>
          <w:rStyle w:val="afc"/>
        </w:rPr>
        <w:footnoteRef/>
      </w:r>
      <w:r w:rsidRPr="00FF7FF8">
        <w:rPr>
          <w:rFonts w:hint="eastAsia"/>
        </w:rPr>
        <w:t xml:space="preserve"> 提案：前無施用毒品紀錄之成年被告，因施用第一級毒品海洛因（下稱前案），經檢察官依毒品危害防制條例（下稱毒品條例）第24條第一項為「附命完成戒癮治療之緩起訴處分」（下稱「附命緩起訴」）後，因被告未完成戒癮治療之必要命令，經檢察官依職權撤銷「附命緩起訴」確定，並依同條第2項就前案提起公訴，致該戒癮治療尚未完成。被告旋再因施用第二級毒品安非他命為警查獲（下稱後案），檢察官可否就後案直接起訴（或聲請簡易判決處刑）？抑應依毒品條例第20條第1項規定聲請將被告送觀察、勒戒？</w:t>
      </w:r>
      <w:r w:rsidRPr="00FF7FF8">
        <w:rPr>
          <w:rFonts w:hint="eastAsia"/>
          <w:b/>
        </w:rPr>
        <w:t>決議採甲說：可直接起訴（或聲請簡易判決處刑）。</w:t>
      </w:r>
      <w:r w:rsidRPr="00FF7FF8">
        <w:rPr>
          <w:rFonts w:hint="eastAsia"/>
        </w:rPr>
        <w:t>理由：〈1〉按毒品條例於97年4月30日修正公布後，</w:t>
      </w:r>
      <w:r w:rsidRPr="00FF7FF8">
        <w:rPr>
          <w:rFonts w:hint="eastAsia"/>
          <w:b/>
        </w:rPr>
        <w:t>對於進入司法程序之戒癮治療方式，採取「觀察、勒戒或強制戒治」及「附命緩起訴」雙軌制，其目的在給予施用毒品者戒毒自新機會。被告既同意參加戒癮治療，由檢察官採行「附命緩起訴」方式，此後「附命緩起訴」經撤銷，自不能再改採「觀察、勒戒或強制戒治」方式，重啟處遇程序。</w:t>
      </w:r>
      <w:r w:rsidRPr="00FF7FF8">
        <w:rPr>
          <w:rFonts w:hint="eastAsia"/>
        </w:rPr>
        <w:t>是該條例第24條乃一般刑事訴訟程序之例外規定，屬刑事訴訟法第1條第1項規定之「其他法律所定之訴訟程序」。該條第2項規定「前項（第1項）緩起訴處分，經撤銷者，檢察官應依法追訴」，已明示施用毒品案件於撤銷緩起訴處分後之法律效果為「依法追訴」，此乃因被告事實上已接受等同「觀察、勒戒」之處遇，惟其竟未能履行該條件，自應於撤銷緩起訴處分後就前案依法起訴，而無再次聲請法院裁定觀察、勒戒之必要。〈2〉「附命緩起訴」後，5年內再犯施用第一級或第二級毒品者，因其事實上已接受等同「觀察、勒戒」處遇，顯見再犯率甚高，原規劃之制度功能已無法發揮成效，自得依毒品條例第23條第2項或第24條第2項規定之</w:t>
      </w:r>
      <w:r w:rsidRPr="00FF7FF8">
        <w:rPr>
          <w:rFonts w:hint="eastAsia"/>
          <w:u w:val="single"/>
        </w:rPr>
        <w:t>相同法理</w:t>
      </w:r>
      <w:r w:rsidRPr="00FF7FF8">
        <w:rPr>
          <w:rFonts w:hint="eastAsia"/>
        </w:rPr>
        <w:t>，逕行提起公訴（或聲請簡易判決處刑），無再依毒品條例第20條第1項聲請觀察、勒戒必要。否則若被告心存僥倖，有意避險，選擇對其較有利之戒癮治療，如有再犯，又可規避直接起訴之規定，自與法律規範目的有悖。</w:t>
      </w:r>
    </w:p>
  </w:footnote>
  <w:footnote w:id="24">
    <w:p w:rsidR="004877D5" w:rsidRPr="00FF7FF8" w:rsidRDefault="004877D5" w:rsidP="0063735A">
      <w:pPr>
        <w:pStyle w:val="afa"/>
        <w:wordWrap w:val="0"/>
        <w:spacing w:line="320" w:lineRule="exact"/>
        <w:ind w:left="1" w:firstLineChars="1" w:firstLine="2"/>
        <w:jc w:val="both"/>
      </w:pPr>
      <w:r w:rsidRPr="00FF7FF8">
        <w:rPr>
          <w:rStyle w:val="afc"/>
        </w:rPr>
        <w:footnoteRef/>
      </w:r>
      <w:r w:rsidRPr="00FF7FF8">
        <w:t xml:space="preserve"> </w:t>
      </w:r>
      <w:r w:rsidRPr="00FF7FF8">
        <w:rPr>
          <w:rFonts w:hint="eastAsia"/>
        </w:rPr>
        <w:t>毒品危害防治條例第20條第1項：「犯第10條之罪者，檢察官應聲請法院裁定，或少年法院（地方法院少年法庭）應先裁定，令被告或少年入勒戒處所觀察、勒戒，其期間不得逾2月。」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CBECB8F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5E51C8B"/>
    <w:multiLevelType w:val="hybridMultilevel"/>
    <w:tmpl w:val="FA0EA2F6"/>
    <w:lvl w:ilvl="0" w:tplc="CDC819E0">
      <w:start w:val="1"/>
      <w:numFmt w:val="decimal"/>
      <w:lvlText w:val="%1、"/>
      <w:lvlJc w:val="left"/>
      <w:pPr>
        <w:ind w:left="2120" w:hanging="720"/>
      </w:pPr>
      <w:rPr>
        <w:rFonts w:hint="default"/>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6">
    <w:nsid w:val="4A5F5684"/>
    <w:multiLevelType w:val="hybridMultilevel"/>
    <w:tmpl w:val="78B891B4"/>
    <w:lvl w:ilvl="0" w:tplc="4D948D5C">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F003BBB"/>
    <w:multiLevelType w:val="hybridMultilevel"/>
    <w:tmpl w:val="FA0EA2F6"/>
    <w:lvl w:ilvl="0" w:tplc="CDC819E0">
      <w:start w:val="1"/>
      <w:numFmt w:val="decimal"/>
      <w:lvlText w:val="%1、"/>
      <w:lvlJc w:val="left"/>
      <w:pPr>
        <w:ind w:left="2120" w:hanging="720"/>
      </w:pPr>
      <w:rPr>
        <w:rFonts w:hint="default"/>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3"/>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4"/>
  </w:num>
  <w:num w:numId="31">
    <w:abstractNumId w:val="4"/>
  </w:num>
  <w:num w:numId="32">
    <w:abstractNumId w:val="1"/>
  </w:num>
  <w:num w:numId="33">
    <w:abstractNumId w:val="9"/>
  </w:num>
  <w:num w:numId="34">
    <w:abstractNumId w:val="5"/>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6"/>
  </w:num>
  <w:num w:numId="38">
    <w:abstractNumId w:val="1"/>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5B56"/>
    <w:rsid w:val="0000607C"/>
    <w:rsid w:val="00006961"/>
    <w:rsid w:val="000112BF"/>
    <w:rsid w:val="00012050"/>
    <w:rsid w:val="00012233"/>
    <w:rsid w:val="00012EF6"/>
    <w:rsid w:val="00012FD0"/>
    <w:rsid w:val="000131B2"/>
    <w:rsid w:val="00014340"/>
    <w:rsid w:val="00017318"/>
    <w:rsid w:val="00021475"/>
    <w:rsid w:val="00022BA8"/>
    <w:rsid w:val="000246F7"/>
    <w:rsid w:val="00025213"/>
    <w:rsid w:val="00025A21"/>
    <w:rsid w:val="000265A7"/>
    <w:rsid w:val="0003114D"/>
    <w:rsid w:val="00032646"/>
    <w:rsid w:val="00033107"/>
    <w:rsid w:val="00034800"/>
    <w:rsid w:val="000364F0"/>
    <w:rsid w:val="00036D76"/>
    <w:rsid w:val="00036EB6"/>
    <w:rsid w:val="00040A10"/>
    <w:rsid w:val="0004193B"/>
    <w:rsid w:val="00042041"/>
    <w:rsid w:val="00042644"/>
    <w:rsid w:val="0004529E"/>
    <w:rsid w:val="0004765B"/>
    <w:rsid w:val="0005051B"/>
    <w:rsid w:val="00051D25"/>
    <w:rsid w:val="00054733"/>
    <w:rsid w:val="0005625F"/>
    <w:rsid w:val="00057312"/>
    <w:rsid w:val="00057F32"/>
    <w:rsid w:val="00062664"/>
    <w:rsid w:val="00062A25"/>
    <w:rsid w:val="0006497F"/>
    <w:rsid w:val="00065FDA"/>
    <w:rsid w:val="00066805"/>
    <w:rsid w:val="00066D62"/>
    <w:rsid w:val="00073CB5"/>
    <w:rsid w:val="00074154"/>
    <w:rsid w:val="0007425C"/>
    <w:rsid w:val="00076913"/>
    <w:rsid w:val="0007718D"/>
    <w:rsid w:val="00077553"/>
    <w:rsid w:val="00082126"/>
    <w:rsid w:val="00082518"/>
    <w:rsid w:val="00082711"/>
    <w:rsid w:val="00082907"/>
    <w:rsid w:val="000846A6"/>
    <w:rsid w:val="000851A2"/>
    <w:rsid w:val="0008589B"/>
    <w:rsid w:val="00087C47"/>
    <w:rsid w:val="000906E9"/>
    <w:rsid w:val="000911AC"/>
    <w:rsid w:val="0009235D"/>
    <w:rsid w:val="0009352E"/>
    <w:rsid w:val="0009392C"/>
    <w:rsid w:val="00094348"/>
    <w:rsid w:val="00094DB3"/>
    <w:rsid w:val="00096B96"/>
    <w:rsid w:val="00097D0C"/>
    <w:rsid w:val="000A208E"/>
    <w:rsid w:val="000A2EC1"/>
    <w:rsid w:val="000A2F3F"/>
    <w:rsid w:val="000A3781"/>
    <w:rsid w:val="000A4374"/>
    <w:rsid w:val="000A75DA"/>
    <w:rsid w:val="000B0B4A"/>
    <w:rsid w:val="000B2447"/>
    <w:rsid w:val="000B279A"/>
    <w:rsid w:val="000B2F0D"/>
    <w:rsid w:val="000B32B0"/>
    <w:rsid w:val="000B489C"/>
    <w:rsid w:val="000B61D2"/>
    <w:rsid w:val="000B696B"/>
    <w:rsid w:val="000B6FE4"/>
    <w:rsid w:val="000B70A7"/>
    <w:rsid w:val="000B76EC"/>
    <w:rsid w:val="000C08E9"/>
    <w:rsid w:val="000C178E"/>
    <w:rsid w:val="000C24AE"/>
    <w:rsid w:val="000C24F3"/>
    <w:rsid w:val="000C2B87"/>
    <w:rsid w:val="000C2BD5"/>
    <w:rsid w:val="000C399F"/>
    <w:rsid w:val="000C414F"/>
    <w:rsid w:val="000C495F"/>
    <w:rsid w:val="000C5F44"/>
    <w:rsid w:val="000C781B"/>
    <w:rsid w:val="000C7B6F"/>
    <w:rsid w:val="000D12CA"/>
    <w:rsid w:val="000D1DCC"/>
    <w:rsid w:val="000D5EF8"/>
    <w:rsid w:val="000E252F"/>
    <w:rsid w:val="000E5C65"/>
    <w:rsid w:val="000E6431"/>
    <w:rsid w:val="000E7D0C"/>
    <w:rsid w:val="000E7F03"/>
    <w:rsid w:val="000F21A5"/>
    <w:rsid w:val="000F5C80"/>
    <w:rsid w:val="000F7471"/>
    <w:rsid w:val="001011DD"/>
    <w:rsid w:val="001023A1"/>
    <w:rsid w:val="00102927"/>
    <w:rsid w:val="00102B9F"/>
    <w:rsid w:val="00102D3F"/>
    <w:rsid w:val="001036A8"/>
    <w:rsid w:val="00104550"/>
    <w:rsid w:val="001059DE"/>
    <w:rsid w:val="0010615C"/>
    <w:rsid w:val="0010627F"/>
    <w:rsid w:val="001073C3"/>
    <w:rsid w:val="00112637"/>
    <w:rsid w:val="00112ABC"/>
    <w:rsid w:val="00114BF5"/>
    <w:rsid w:val="00115643"/>
    <w:rsid w:val="001158C1"/>
    <w:rsid w:val="00116874"/>
    <w:rsid w:val="0012001E"/>
    <w:rsid w:val="001227F0"/>
    <w:rsid w:val="00126A55"/>
    <w:rsid w:val="00132C30"/>
    <w:rsid w:val="00133F08"/>
    <w:rsid w:val="001345E6"/>
    <w:rsid w:val="001346DD"/>
    <w:rsid w:val="00135994"/>
    <w:rsid w:val="001378B0"/>
    <w:rsid w:val="0014028B"/>
    <w:rsid w:val="00141AB1"/>
    <w:rsid w:val="001423A9"/>
    <w:rsid w:val="00142DFE"/>
    <w:rsid w:val="00142E00"/>
    <w:rsid w:val="001465C3"/>
    <w:rsid w:val="00146703"/>
    <w:rsid w:val="00147B5C"/>
    <w:rsid w:val="00150C18"/>
    <w:rsid w:val="00152793"/>
    <w:rsid w:val="00153B7E"/>
    <w:rsid w:val="001545A9"/>
    <w:rsid w:val="00154A8C"/>
    <w:rsid w:val="00156C49"/>
    <w:rsid w:val="00160FB6"/>
    <w:rsid w:val="00163210"/>
    <w:rsid w:val="001637C7"/>
    <w:rsid w:val="00164011"/>
    <w:rsid w:val="0016480E"/>
    <w:rsid w:val="001657FA"/>
    <w:rsid w:val="00165B35"/>
    <w:rsid w:val="00167A53"/>
    <w:rsid w:val="00170399"/>
    <w:rsid w:val="00170C23"/>
    <w:rsid w:val="00171223"/>
    <w:rsid w:val="00172EFF"/>
    <w:rsid w:val="00174297"/>
    <w:rsid w:val="00176BA5"/>
    <w:rsid w:val="00177B02"/>
    <w:rsid w:val="00180E06"/>
    <w:rsid w:val="00180ED3"/>
    <w:rsid w:val="001817B3"/>
    <w:rsid w:val="0018197C"/>
    <w:rsid w:val="001821D2"/>
    <w:rsid w:val="00183014"/>
    <w:rsid w:val="001839AC"/>
    <w:rsid w:val="001859C5"/>
    <w:rsid w:val="001877AB"/>
    <w:rsid w:val="0019260C"/>
    <w:rsid w:val="00193574"/>
    <w:rsid w:val="00193739"/>
    <w:rsid w:val="001959C2"/>
    <w:rsid w:val="00196EBB"/>
    <w:rsid w:val="00197C47"/>
    <w:rsid w:val="001A1250"/>
    <w:rsid w:val="001A157E"/>
    <w:rsid w:val="001A428D"/>
    <w:rsid w:val="001A4C6E"/>
    <w:rsid w:val="001A51A4"/>
    <w:rsid w:val="001A51E3"/>
    <w:rsid w:val="001A53F7"/>
    <w:rsid w:val="001A5B4C"/>
    <w:rsid w:val="001A7968"/>
    <w:rsid w:val="001B147E"/>
    <w:rsid w:val="001B22D4"/>
    <w:rsid w:val="001B267C"/>
    <w:rsid w:val="001B2E98"/>
    <w:rsid w:val="001B2FF5"/>
    <w:rsid w:val="001B3483"/>
    <w:rsid w:val="001B3C1E"/>
    <w:rsid w:val="001B4494"/>
    <w:rsid w:val="001C0D8B"/>
    <w:rsid w:val="001C0DA8"/>
    <w:rsid w:val="001C1058"/>
    <w:rsid w:val="001C23C8"/>
    <w:rsid w:val="001C27D0"/>
    <w:rsid w:val="001C36C1"/>
    <w:rsid w:val="001C396B"/>
    <w:rsid w:val="001C42E9"/>
    <w:rsid w:val="001C61BB"/>
    <w:rsid w:val="001D179A"/>
    <w:rsid w:val="001D2D9A"/>
    <w:rsid w:val="001D4AD7"/>
    <w:rsid w:val="001D542E"/>
    <w:rsid w:val="001D5691"/>
    <w:rsid w:val="001D64D4"/>
    <w:rsid w:val="001E0097"/>
    <w:rsid w:val="001E0D8A"/>
    <w:rsid w:val="001E67BA"/>
    <w:rsid w:val="001E74C2"/>
    <w:rsid w:val="001F11EE"/>
    <w:rsid w:val="001F1E83"/>
    <w:rsid w:val="001F21A8"/>
    <w:rsid w:val="001F3F3B"/>
    <w:rsid w:val="001F53BC"/>
    <w:rsid w:val="001F594C"/>
    <w:rsid w:val="001F5A48"/>
    <w:rsid w:val="001F6260"/>
    <w:rsid w:val="001F64F0"/>
    <w:rsid w:val="001F663C"/>
    <w:rsid w:val="001F7142"/>
    <w:rsid w:val="00200007"/>
    <w:rsid w:val="002002F2"/>
    <w:rsid w:val="002030A5"/>
    <w:rsid w:val="00203131"/>
    <w:rsid w:val="00205C50"/>
    <w:rsid w:val="00206582"/>
    <w:rsid w:val="00206735"/>
    <w:rsid w:val="00206DEF"/>
    <w:rsid w:val="00207FBE"/>
    <w:rsid w:val="00210B5D"/>
    <w:rsid w:val="002124E0"/>
    <w:rsid w:val="00212A1E"/>
    <w:rsid w:val="00212E88"/>
    <w:rsid w:val="00213C9C"/>
    <w:rsid w:val="00214A37"/>
    <w:rsid w:val="00216A63"/>
    <w:rsid w:val="00217833"/>
    <w:rsid w:val="0022009E"/>
    <w:rsid w:val="0022085E"/>
    <w:rsid w:val="002224EF"/>
    <w:rsid w:val="00223241"/>
    <w:rsid w:val="0022425C"/>
    <w:rsid w:val="002246DE"/>
    <w:rsid w:val="002246F2"/>
    <w:rsid w:val="00225A1E"/>
    <w:rsid w:val="0023027F"/>
    <w:rsid w:val="0023384C"/>
    <w:rsid w:val="00233BF3"/>
    <w:rsid w:val="0023400E"/>
    <w:rsid w:val="00237656"/>
    <w:rsid w:val="002406CB"/>
    <w:rsid w:val="00240824"/>
    <w:rsid w:val="00245775"/>
    <w:rsid w:val="00246B39"/>
    <w:rsid w:val="002479FC"/>
    <w:rsid w:val="00250E81"/>
    <w:rsid w:val="00251BA1"/>
    <w:rsid w:val="002529FD"/>
    <w:rsid w:val="00252BC4"/>
    <w:rsid w:val="00254014"/>
    <w:rsid w:val="0025434F"/>
    <w:rsid w:val="00255858"/>
    <w:rsid w:val="00255BBA"/>
    <w:rsid w:val="0025697A"/>
    <w:rsid w:val="00262061"/>
    <w:rsid w:val="00263318"/>
    <w:rsid w:val="0026504D"/>
    <w:rsid w:val="00265C21"/>
    <w:rsid w:val="00265DBA"/>
    <w:rsid w:val="00265ECA"/>
    <w:rsid w:val="00267382"/>
    <w:rsid w:val="00267559"/>
    <w:rsid w:val="00270C38"/>
    <w:rsid w:val="00272B49"/>
    <w:rsid w:val="00273A2F"/>
    <w:rsid w:val="00275512"/>
    <w:rsid w:val="00276487"/>
    <w:rsid w:val="00276649"/>
    <w:rsid w:val="00276A83"/>
    <w:rsid w:val="00280986"/>
    <w:rsid w:val="00280F87"/>
    <w:rsid w:val="00281017"/>
    <w:rsid w:val="00281ECE"/>
    <w:rsid w:val="002831C7"/>
    <w:rsid w:val="002840C6"/>
    <w:rsid w:val="002867A0"/>
    <w:rsid w:val="00286CF3"/>
    <w:rsid w:val="0029020B"/>
    <w:rsid w:val="002911CD"/>
    <w:rsid w:val="00291C25"/>
    <w:rsid w:val="00293BDA"/>
    <w:rsid w:val="00295174"/>
    <w:rsid w:val="00295E5E"/>
    <w:rsid w:val="00296172"/>
    <w:rsid w:val="00296B92"/>
    <w:rsid w:val="00296F2A"/>
    <w:rsid w:val="00296F40"/>
    <w:rsid w:val="002A2C22"/>
    <w:rsid w:val="002A2CAE"/>
    <w:rsid w:val="002A3507"/>
    <w:rsid w:val="002A4BD5"/>
    <w:rsid w:val="002A5EC3"/>
    <w:rsid w:val="002A7329"/>
    <w:rsid w:val="002B012D"/>
    <w:rsid w:val="002B02EB"/>
    <w:rsid w:val="002B1673"/>
    <w:rsid w:val="002B519F"/>
    <w:rsid w:val="002B6ECA"/>
    <w:rsid w:val="002C0602"/>
    <w:rsid w:val="002C0954"/>
    <w:rsid w:val="002C7FD1"/>
    <w:rsid w:val="002D0098"/>
    <w:rsid w:val="002D041A"/>
    <w:rsid w:val="002D0E20"/>
    <w:rsid w:val="002D27D7"/>
    <w:rsid w:val="002D2984"/>
    <w:rsid w:val="002D33E2"/>
    <w:rsid w:val="002D5C16"/>
    <w:rsid w:val="002D5F37"/>
    <w:rsid w:val="002D7547"/>
    <w:rsid w:val="002E0172"/>
    <w:rsid w:val="002E1FB6"/>
    <w:rsid w:val="002E3715"/>
    <w:rsid w:val="002E3D90"/>
    <w:rsid w:val="002F370E"/>
    <w:rsid w:val="002F3DFF"/>
    <w:rsid w:val="002F5E05"/>
    <w:rsid w:val="002F63EF"/>
    <w:rsid w:val="002F7B18"/>
    <w:rsid w:val="002F7CFF"/>
    <w:rsid w:val="00300C01"/>
    <w:rsid w:val="00301C36"/>
    <w:rsid w:val="003035C5"/>
    <w:rsid w:val="00315015"/>
    <w:rsid w:val="003153D3"/>
    <w:rsid w:val="00315A16"/>
    <w:rsid w:val="00317053"/>
    <w:rsid w:val="0032109C"/>
    <w:rsid w:val="00322B45"/>
    <w:rsid w:val="00322F5B"/>
    <w:rsid w:val="00323809"/>
    <w:rsid w:val="00323D41"/>
    <w:rsid w:val="00325414"/>
    <w:rsid w:val="0032576A"/>
    <w:rsid w:val="00325792"/>
    <w:rsid w:val="003302F1"/>
    <w:rsid w:val="003319D0"/>
    <w:rsid w:val="00331CED"/>
    <w:rsid w:val="003320DF"/>
    <w:rsid w:val="00333114"/>
    <w:rsid w:val="003340DA"/>
    <w:rsid w:val="00335080"/>
    <w:rsid w:val="0034470E"/>
    <w:rsid w:val="00346054"/>
    <w:rsid w:val="003463A0"/>
    <w:rsid w:val="0035217A"/>
    <w:rsid w:val="003523A5"/>
    <w:rsid w:val="00352DB0"/>
    <w:rsid w:val="00353D1B"/>
    <w:rsid w:val="003540AB"/>
    <w:rsid w:val="003544B7"/>
    <w:rsid w:val="003546AA"/>
    <w:rsid w:val="003573BE"/>
    <w:rsid w:val="00360A51"/>
    <w:rsid w:val="00361063"/>
    <w:rsid w:val="003652F9"/>
    <w:rsid w:val="00366355"/>
    <w:rsid w:val="00367073"/>
    <w:rsid w:val="00367F54"/>
    <w:rsid w:val="0037004F"/>
    <w:rsid w:val="0037062B"/>
    <w:rsid w:val="0037094A"/>
    <w:rsid w:val="00370FB9"/>
    <w:rsid w:val="00371ED3"/>
    <w:rsid w:val="00372FFC"/>
    <w:rsid w:val="00373568"/>
    <w:rsid w:val="00373A02"/>
    <w:rsid w:val="0037728A"/>
    <w:rsid w:val="003774BE"/>
    <w:rsid w:val="003804A5"/>
    <w:rsid w:val="00380B7D"/>
    <w:rsid w:val="003814D3"/>
    <w:rsid w:val="00381A99"/>
    <w:rsid w:val="003824F7"/>
    <w:rsid w:val="00382607"/>
    <w:rsid w:val="003829C2"/>
    <w:rsid w:val="003830B2"/>
    <w:rsid w:val="00383CE8"/>
    <w:rsid w:val="003842DA"/>
    <w:rsid w:val="00384724"/>
    <w:rsid w:val="00386CCD"/>
    <w:rsid w:val="00390611"/>
    <w:rsid w:val="0039158F"/>
    <w:rsid w:val="003919B7"/>
    <w:rsid w:val="00391D57"/>
    <w:rsid w:val="00392292"/>
    <w:rsid w:val="003927C3"/>
    <w:rsid w:val="003966E2"/>
    <w:rsid w:val="003A07BA"/>
    <w:rsid w:val="003A15E3"/>
    <w:rsid w:val="003A4F01"/>
    <w:rsid w:val="003B1017"/>
    <w:rsid w:val="003B14A9"/>
    <w:rsid w:val="003B1F46"/>
    <w:rsid w:val="003B2AD8"/>
    <w:rsid w:val="003B3C07"/>
    <w:rsid w:val="003B3EA6"/>
    <w:rsid w:val="003B6775"/>
    <w:rsid w:val="003B6C98"/>
    <w:rsid w:val="003B6D84"/>
    <w:rsid w:val="003C4037"/>
    <w:rsid w:val="003C4F59"/>
    <w:rsid w:val="003C5FE2"/>
    <w:rsid w:val="003C612A"/>
    <w:rsid w:val="003C7305"/>
    <w:rsid w:val="003C745E"/>
    <w:rsid w:val="003D05FB"/>
    <w:rsid w:val="003D10D2"/>
    <w:rsid w:val="003D1B16"/>
    <w:rsid w:val="003D420D"/>
    <w:rsid w:val="003D45BF"/>
    <w:rsid w:val="003D508A"/>
    <w:rsid w:val="003D537F"/>
    <w:rsid w:val="003D5EF4"/>
    <w:rsid w:val="003D6338"/>
    <w:rsid w:val="003D7B75"/>
    <w:rsid w:val="003D7F0C"/>
    <w:rsid w:val="003E0208"/>
    <w:rsid w:val="003E16A6"/>
    <w:rsid w:val="003E2BB5"/>
    <w:rsid w:val="003E4B57"/>
    <w:rsid w:val="003F27E1"/>
    <w:rsid w:val="003F437A"/>
    <w:rsid w:val="003F4A2A"/>
    <w:rsid w:val="003F5336"/>
    <w:rsid w:val="003F5C2B"/>
    <w:rsid w:val="003F5E79"/>
    <w:rsid w:val="003F7231"/>
    <w:rsid w:val="003F78CB"/>
    <w:rsid w:val="003F7B16"/>
    <w:rsid w:val="004005BF"/>
    <w:rsid w:val="00400EFA"/>
    <w:rsid w:val="00402306"/>
    <w:rsid w:val="004023E9"/>
    <w:rsid w:val="00403E73"/>
    <w:rsid w:val="00403F39"/>
    <w:rsid w:val="00403FB7"/>
    <w:rsid w:val="0040454A"/>
    <w:rsid w:val="00405F47"/>
    <w:rsid w:val="004073AD"/>
    <w:rsid w:val="0041129E"/>
    <w:rsid w:val="0041288C"/>
    <w:rsid w:val="00412F28"/>
    <w:rsid w:val="00413F83"/>
    <w:rsid w:val="0041490C"/>
    <w:rsid w:val="00415BD1"/>
    <w:rsid w:val="00415D0C"/>
    <w:rsid w:val="00416191"/>
    <w:rsid w:val="004162BE"/>
    <w:rsid w:val="00416721"/>
    <w:rsid w:val="00416C4F"/>
    <w:rsid w:val="004172C7"/>
    <w:rsid w:val="00421BCF"/>
    <w:rsid w:val="00421EF0"/>
    <w:rsid w:val="004224FA"/>
    <w:rsid w:val="00422FE7"/>
    <w:rsid w:val="00423D07"/>
    <w:rsid w:val="00425310"/>
    <w:rsid w:val="00431F2E"/>
    <w:rsid w:val="004320FF"/>
    <w:rsid w:val="00432F56"/>
    <w:rsid w:val="00440BCA"/>
    <w:rsid w:val="00443451"/>
    <w:rsid w:val="0044346F"/>
    <w:rsid w:val="0044388D"/>
    <w:rsid w:val="00444F4C"/>
    <w:rsid w:val="00445CB3"/>
    <w:rsid w:val="00447257"/>
    <w:rsid w:val="00455E48"/>
    <w:rsid w:val="0045693C"/>
    <w:rsid w:val="00456E09"/>
    <w:rsid w:val="00462A61"/>
    <w:rsid w:val="00463411"/>
    <w:rsid w:val="0046520A"/>
    <w:rsid w:val="004672AB"/>
    <w:rsid w:val="004714FE"/>
    <w:rsid w:val="0047177B"/>
    <w:rsid w:val="00473258"/>
    <w:rsid w:val="0047452C"/>
    <w:rsid w:val="00474CFB"/>
    <w:rsid w:val="00475199"/>
    <w:rsid w:val="0047546E"/>
    <w:rsid w:val="004767ED"/>
    <w:rsid w:val="004775C0"/>
    <w:rsid w:val="00477BAA"/>
    <w:rsid w:val="00481B4B"/>
    <w:rsid w:val="0048462B"/>
    <w:rsid w:val="004858D2"/>
    <w:rsid w:val="00485CA3"/>
    <w:rsid w:val="004877D5"/>
    <w:rsid w:val="00487FC9"/>
    <w:rsid w:val="004900DA"/>
    <w:rsid w:val="004901A5"/>
    <w:rsid w:val="00490F43"/>
    <w:rsid w:val="00494209"/>
    <w:rsid w:val="00495053"/>
    <w:rsid w:val="00495933"/>
    <w:rsid w:val="00495F23"/>
    <w:rsid w:val="00497015"/>
    <w:rsid w:val="004A0BCF"/>
    <w:rsid w:val="004A1DD8"/>
    <w:rsid w:val="004A1F59"/>
    <w:rsid w:val="004A29BE"/>
    <w:rsid w:val="004A3225"/>
    <w:rsid w:val="004A33EE"/>
    <w:rsid w:val="004A3683"/>
    <w:rsid w:val="004A3AA8"/>
    <w:rsid w:val="004A41A9"/>
    <w:rsid w:val="004B0FE5"/>
    <w:rsid w:val="004B13C7"/>
    <w:rsid w:val="004B1DD8"/>
    <w:rsid w:val="004B26D5"/>
    <w:rsid w:val="004B43AD"/>
    <w:rsid w:val="004B4CF3"/>
    <w:rsid w:val="004B67D9"/>
    <w:rsid w:val="004B778F"/>
    <w:rsid w:val="004C2519"/>
    <w:rsid w:val="004C2F77"/>
    <w:rsid w:val="004C4EFE"/>
    <w:rsid w:val="004C6292"/>
    <w:rsid w:val="004C6AE9"/>
    <w:rsid w:val="004D141F"/>
    <w:rsid w:val="004D180E"/>
    <w:rsid w:val="004D2742"/>
    <w:rsid w:val="004D3C9E"/>
    <w:rsid w:val="004D48C6"/>
    <w:rsid w:val="004D5EA0"/>
    <w:rsid w:val="004D6310"/>
    <w:rsid w:val="004D64AC"/>
    <w:rsid w:val="004E0062"/>
    <w:rsid w:val="004E05A1"/>
    <w:rsid w:val="004E2640"/>
    <w:rsid w:val="004E3B36"/>
    <w:rsid w:val="004E4075"/>
    <w:rsid w:val="004F2253"/>
    <w:rsid w:val="004F22AF"/>
    <w:rsid w:val="004F3BFF"/>
    <w:rsid w:val="004F3E59"/>
    <w:rsid w:val="004F3EA4"/>
    <w:rsid w:val="004F4BD2"/>
    <w:rsid w:val="004F5E57"/>
    <w:rsid w:val="004F6710"/>
    <w:rsid w:val="005009B7"/>
    <w:rsid w:val="00500C3E"/>
    <w:rsid w:val="00501509"/>
    <w:rsid w:val="00502849"/>
    <w:rsid w:val="00502F59"/>
    <w:rsid w:val="005041DA"/>
    <w:rsid w:val="00504334"/>
    <w:rsid w:val="0050498D"/>
    <w:rsid w:val="0050548A"/>
    <w:rsid w:val="00506FE7"/>
    <w:rsid w:val="005070FE"/>
    <w:rsid w:val="005104D7"/>
    <w:rsid w:val="00510B9E"/>
    <w:rsid w:val="00515E46"/>
    <w:rsid w:val="005200EF"/>
    <w:rsid w:val="00522309"/>
    <w:rsid w:val="0052610D"/>
    <w:rsid w:val="005265F8"/>
    <w:rsid w:val="00530BCC"/>
    <w:rsid w:val="005319F3"/>
    <w:rsid w:val="00531B99"/>
    <w:rsid w:val="00532019"/>
    <w:rsid w:val="00532FCE"/>
    <w:rsid w:val="005333C7"/>
    <w:rsid w:val="00534B95"/>
    <w:rsid w:val="00535422"/>
    <w:rsid w:val="00536BC2"/>
    <w:rsid w:val="00536DAF"/>
    <w:rsid w:val="005370D4"/>
    <w:rsid w:val="00537648"/>
    <w:rsid w:val="00540A38"/>
    <w:rsid w:val="00541112"/>
    <w:rsid w:val="00541259"/>
    <w:rsid w:val="00541E2C"/>
    <w:rsid w:val="00541F10"/>
    <w:rsid w:val="005425E1"/>
    <w:rsid w:val="005427C5"/>
    <w:rsid w:val="00542B2A"/>
    <w:rsid w:val="00542CF6"/>
    <w:rsid w:val="00543576"/>
    <w:rsid w:val="00544067"/>
    <w:rsid w:val="00545325"/>
    <w:rsid w:val="00546E33"/>
    <w:rsid w:val="00547B0A"/>
    <w:rsid w:val="00547DB2"/>
    <w:rsid w:val="00552206"/>
    <w:rsid w:val="00553C03"/>
    <w:rsid w:val="00554A7C"/>
    <w:rsid w:val="00557ADE"/>
    <w:rsid w:val="00557C5D"/>
    <w:rsid w:val="0056190A"/>
    <w:rsid w:val="00562852"/>
    <w:rsid w:val="00563692"/>
    <w:rsid w:val="00563A1D"/>
    <w:rsid w:val="0056455D"/>
    <w:rsid w:val="00571679"/>
    <w:rsid w:val="00572383"/>
    <w:rsid w:val="00572D5E"/>
    <w:rsid w:val="005734FF"/>
    <w:rsid w:val="00573C2B"/>
    <w:rsid w:val="00580A32"/>
    <w:rsid w:val="005844E7"/>
    <w:rsid w:val="005908B8"/>
    <w:rsid w:val="00592AAB"/>
    <w:rsid w:val="00594F64"/>
    <w:rsid w:val="0059512E"/>
    <w:rsid w:val="00596A6A"/>
    <w:rsid w:val="005A06E2"/>
    <w:rsid w:val="005A1344"/>
    <w:rsid w:val="005A14E5"/>
    <w:rsid w:val="005A3F0E"/>
    <w:rsid w:val="005A4BF6"/>
    <w:rsid w:val="005A699B"/>
    <w:rsid w:val="005A69B6"/>
    <w:rsid w:val="005A6DD2"/>
    <w:rsid w:val="005B0042"/>
    <w:rsid w:val="005B0FE1"/>
    <w:rsid w:val="005B1763"/>
    <w:rsid w:val="005B503E"/>
    <w:rsid w:val="005B7862"/>
    <w:rsid w:val="005C0D34"/>
    <w:rsid w:val="005C385D"/>
    <w:rsid w:val="005C48CB"/>
    <w:rsid w:val="005C4BF9"/>
    <w:rsid w:val="005C5370"/>
    <w:rsid w:val="005C57E9"/>
    <w:rsid w:val="005C6A1A"/>
    <w:rsid w:val="005C7116"/>
    <w:rsid w:val="005D0A8F"/>
    <w:rsid w:val="005D3B20"/>
    <w:rsid w:val="005D44FE"/>
    <w:rsid w:val="005D6E74"/>
    <w:rsid w:val="005E277F"/>
    <w:rsid w:val="005E4759"/>
    <w:rsid w:val="005E5C68"/>
    <w:rsid w:val="005E65C0"/>
    <w:rsid w:val="005E7A7B"/>
    <w:rsid w:val="005F0390"/>
    <w:rsid w:val="005F4A51"/>
    <w:rsid w:val="005F565A"/>
    <w:rsid w:val="005F6080"/>
    <w:rsid w:val="0060076D"/>
    <w:rsid w:val="00603C7E"/>
    <w:rsid w:val="00604F8D"/>
    <w:rsid w:val="00605FD9"/>
    <w:rsid w:val="006068E5"/>
    <w:rsid w:val="006072CD"/>
    <w:rsid w:val="00607C11"/>
    <w:rsid w:val="00610BDA"/>
    <w:rsid w:val="00610C86"/>
    <w:rsid w:val="00612023"/>
    <w:rsid w:val="00613397"/>
    <w:rsid w:val="00614190"/>
    <w:rsid w:val="00614553"/>
    <w:rsid w:val="00615177"/>
    <w:rsid w:val="00615782"/>
    <w:rsid w:val="00621B0E"/>
    <w:rsid w:val="00622690"/>
    <w:rsid w:val="00622A99"/>
    <w:rsid w:val="00622E67"/>
    <w:rsid w:val="00624AE4"/>
    <w:rsid w:val="006253ED"/>
    <w:rsid w:val="006255B8"/>
    <w:rsid w:val="00626EDC"/>
    <w:rsid w:val="0063056C"/>
    <w:rsid w:val="0063181A"/>
    <w:rsid w:val="00633D1C"/>
    <w:rsid w:val="00633EA3"/>
    <w:rsid w:val="006369FA"/>
    <w:rsid w:val="0063735A"/>
    <w:rsid w:val="00637FE0"/>
    <w:rsid w:val="00640E5B"/>
    <w:rsid w:val="00641AA9"/>
    <w:rsid w:val="00641BE7"/>
    <w:rsid w:val="00646F6E"/>
    <w:rsid w:val="006470EC"/>
    <w:rsid w:val="00647F18"/>
    <w:rsid w:val="0065064D"/>
    <w:rsid w:val="00650CE8"/>
    <w:rsid w:val="006518CD"/>
    <w:rsid w:val="006542D6"/>
    <w:rsid w:val="006554F1"/>
    <w:rsid w:val="0065598E"/>
    <w:rsid w:val="00655AF2"/>
    <w:rsid w:val="00655BC5"/>
    <w:rsid w:val="006568BE"/>
    <w:rsid w:val="006571AD"/>
    <w:rsid w:val="006573DD"/>
    <w:rsid w:val="0065776A"/>
    <w:rsid w:val="0066025D"/>
    <w:rsid w:val="0066091A"/>
    <w:rsid w:val="00662C44"/>
    <w:rsid w:val="00664A4D"/>
    <w:rsid w:val="00665605"/>
    <w:rsid w:val="00665F3E"/>
    <w:rsid w:val="00666E40"/>
    <w:rsid w:val="006709BE"/>
    <w:rsid w:val="00671129"/>
    <w:rsid w:val="00671DEC"/>
    <w:rsid w:val="00671E68"/>
    <w:rsid w:val="00672417"/>
    <w:rsid w:val="00674BBD"/>
    <w:rsid w:val="006773EC"/>
    <w:rsid w:val="00680504"/>
    <w:rsid w:val="00681CD9"/>
    <w:rsid w:val="006838A5"/>
    <w:rsid w:val="00683E30"/>
    <w:rsid w:val="00684928"/>
    <w:rsid w:val="00687024"/>
    <w:rsid w:val="006905E9"/>
    <w:rsid w:val="00695572"/>
    <w:rsid w:val="00695E22"/>
    <w:rsid w:val="006961CE"/>
    <w:rsid w:val="00697BCB"/>
    <w:rsid w:val="006A09BE"/>
    <w:rsid w:val="006A175B"/>
    <w:rsid w:val="006A1E74"/>
    <w:rsid w:val="006A240D"/>
    <w:rsid w:val="006A27AB"/>
    <w:rsid w:val="006A425E"/>
    <w:rsid w:val="006A5130"/>
    <w:rsid w:val="006A7D7F"/>
    <w:rsid w:val="006B0A20"/>
    <w:rsid w:val="006B0FE1"/>
    <w:rsid w:val="006B1302"/>
    <w:rsid w:val="006B1C7A"/>
    <w:rsid w:val="006B3A8B"/>
    <w:rsid w:val="006B3D23"/>
    <w:rsid w:val="006B472E"/>
    <w:rsid w:val="006B6581"/>
    <w:rsid w:val="006B7093"/>
    <w:rsid w:val="006B7417"/>
    <w:rsid w:val="006B7A74"/>
    <w:rsid w:val="006C6035"/>
    <w:rsid w:val="006C6E6C"/>
    <w:rsid w:val="006C7D5B"/>
    <w:rsid w:val="006D2986"/>
    <w:rsid w:val="006D3691"/>
    <w:rsid w:val="006D3EF5"/>
    <w:rsid w:val="006D6D25"/>
    <w:rsid w:val="006E1368"/>
    <w:rsid w:val="006E23B6"/>
    <w:rsid w:val="006E2A4C"/>
    <w:rsid w:val="006E4BAA"/>
    <w:rsid w:val="006E55CD"/>
    <w:rsid w:val="006E5EF0"/>
    <w:rsid w:val="006E696A"/>
    <w:rsid w:val="006E7887"/>
    <w:rsid w:val="006E7EB5"/>
    <w:rsid w:val="006F044F"/>
    <w:rsid w:val="006F16CF"/>
    <w:rsid w:val="006F1CDC"/>
    <w:rsid w:val="006F1E6E"/>
    <w:rsid w:val="006F3563"/>
    <w:rsid w:val="006F42B9"/>
    <w:rsid w:val="006F6103"/>
    <w:rsid w:val="00700372"/>
    <w:rsid w:val="00701628"/>
    <w:rsid w:val="00702CF9"/>
    <w:rsid w:val="00703B13"/>
    <w:rsid w:val="00704E00"/>
    <w:rsid w:val="00704EF7"/>
    <w:rsid w:val="00706215"/>
    <w:rsid w:val="00707236"/>
    <w:rsid w:val="00707B5D"/>
    <w:rsid w:val="00710356"/>
    <w:rsid w:val="00710853"/>
    <w:rsid w:val="00710BFC"/>
    <w:rsid w:val="00713556"/>
    <w:rsid w:val="00713B87"/>
    <w:rsid w:val="00715C0D"/>
    <w:rsid w:val="00716C1F"/>
    <w:rsid w:val="00717C85"/>
    <w:rsid w:val="007209E7"/>
    <w:rsid w:val="007231B9"/>
    <w:rsid w:val="00726182"/>
    <w:rsid w:val="00726A0E"/>
    <w:rsid w:val="00727635"/>
    <w:rsid w:val="00727A88"/>
    <w:rsid w:val="007308A4"/>
    <w:rsid w:val="00730BD6"/>
    <w:rsid w:val="007321AF"/>
    <w:rsid w:val="00732329"/>
    <w:rsid w:val="0073336B"/>
    <w:rsid w:val="007337CA"/>
    <w:rsid w:val="00734CE4"/>
    <w:rsid w:val="00735123"/>
    <w:rsid w:val="00737C3A"/>
    <w:rsid w:val="00741837"/>
    <w:rsid w:val="00741B53"/>
    <w:rsid w:val="00742F9A"/>
    <w:rsid w:val="00743DD0"/>
    <w:rsid w:val="007453E6"/>
    <w:rsid w:val="00745CFB"/>
    <w:rsid w:val="00746B57"/>
    <w:rsid w:val="00746DCE"/>
    <w:rsid w:val="0074757B"/>
    <w:rsid w:val="00747B97"/>
    <w:rsid w:val="00750E11"/>
    <w:rsid w:val="00751931"/>
    <w:rsid w:val="00754D13"/>
    <w:rsid w:val="00760FB0"/>
    <w:rsid w:val="00762151"/>
    <w:rsid w:val="0076446F"/>
    <w:rsid w:val="00765CE9"/>
    <w:rsid w:val="00770CC5"/>
    <w:rsid w:val="007721B1"/>
    <w:rsid w:val="0077309D"/>
    <w:rsid w:val="00773507"/>
    <w:rsid w:val="00774494"/>
    <w:rsid w:val="00775B80"/>
    <w:rsid w:val="0077711C"/>
    <w:rsid w:val="007774EE"/>
    <w:rsid w:val="00777F1B"/>
    <w:rsid w:val="00781482"/>
    <w:rsid w:val="007816BC"/>
    <w:rsid w:val="00781822"/>
    <w:rsid w:val="00782526"/>
    <w:rsid w:val="00783F21"/>
    <w:rsid w:val="00785C6C"/>
    <w:rsid w:val="00787159"/>
    <w:rsid w:val="0079043A"/>
    <w:rsid w:val="00791668"/>
    <w:rsid w:val="00791AA1"/>
    <w:rsid w:val="007934D6"/>
    <w:rsid w:val="00795AD7"/>
    <w:rsid w:val="007A196A"/>
    <w:rsid w:val="007A2066"/>
    <w:rsid w:val="007A274D"/>
    <w:rsid w:val="007A3793"/>
    <w:rsid w:val="007A40DF"/>
    <w:rsid w:val="007A44DF"/>
    <w:rsid w:val="007A5719"/>
    <w:rsid w:val="007A61C8"/>
    <w:rsid w:val="007A68F8"/>
    <w:rsid w:val="007B5E12"/>
    <w:rsid w:val="007B6720"/>
    <w:rsid w:val="007B78C1"/>
    <w:rsid w:val="007C0198"/>
    <w:rsid w:val="007C1BA2"/>
    <w:rsid w:val="007C2A6D"/>
    <w:rsid w:val="007C2B48"/>
    <w:rsid w:val="007C3D0A"/>
    <w:rsid w:val="007C4C83"/>
    <w:rsid w:val="007C6AC1"/>
    <w:rsid w:val="007D0203"/>
    <w:rsid w:val="007D0B24"/>
    <w:rsid w:val="007D20E9"/>
    <w:rsid w:val="007D25E5"/>
    <w:rsid w:val="007D4396"/>
    <w:rsid w:val="007D6A5D"/>
    <w:rsid w:val="007D7129"/>
    <w:rsid w:val="007D71DC"/>
    <w:rsid w:val="007D7881"/>
    <w:rsid w:val="007D7E3A"/>
    <w:rsid w:val="007E0666"/>
    <w:rsid w:val="007E0E10"/>
    <w:rsid w:val="007E3C45"/>
    <w:rsid w:val="007E4768"/>
    <w:rsid w:val="007E5215"/>
    <w:rsid w:val="007E5691"/>
    <w:rsid w:val="007E6871"/>
    <w:rsid w:val="007E777B"/>
    <w:rsid w:val="007F2070"/>
    <w:rsid w:val="007F2D27"/>
    <w:rsid w:val="007F3181"/>
    <w:rsid w:val="007F4882"/>
    <w:rsid w:val="007F55E7"/>
    <w:rsid w:val="007F6F8A"/>
    <w:rsid w:val="00801AAF"/>
    <w:rsid w:val="008024D4"/>
    <w:rsid w:val="00803EC8"/>
    <w:rsid w:val="00804C6B"/>
    <w:rsid w:val="008053F5"/>
    <w:rsid w:val="00805D12"/>
    <w:rsid w:val="00807AF7"/>
    <w:rsid w:val="00810198"/>
    <w:rsid w:val="008126A5"/>
    <w:rsid w:val="00815515"/>
    <w:rsid w:val="00815DA8"/>
    <w:rsid w:val="008163FB"/>
    <w:rsid w:val="00817F20"/>
    <w:rsid w:val="00820649"/>
    <w:rsid w:val="00821192"/>
    <w:rsid w:val="0082194D"/>
    <w:rsid w:val="00823E9A"/>
    <w:rsid w:val="00825623"/>
    <w:rsid w:val="00826BAB"/>
    <w:rsid w:val="00826EF5"/>
    <w:rsid w:val="0083032A"/>
    <w:rsid w:val="00831693"/>
    <w:rsid w:val="00840104"/>
    <w:rsid w:val="00840C1F"/>
    <w:rsid w:val="00841773"/>
    <w:rsid w:val="00841FC5"/>
    <w:rsid w:val="00843152"/>
    <w:rsid w:val="00844A35"/>
    <w:rsid w:val="00845709"/>
    <w:rsid w:val="00845B16"/>
    <w:rsid w:val="008502AB"/>
    <w:rsid w:val="0085105C"/>
    <w:rsid w:val="00855B6A"/>
    <w:rsid w:val="008576BD"/>
    <w:rsid w:val="00860280"/>
    <w:rsid w:val="00860463"/>
    <w:rsid w:val="00862B26"/>
    <w:rsid w:val="00862F47"/>
    <w:rsid w:val="008636EC"/>
    <w:rsid w:val="00864103"/>
    <w:rsid w:val="008710AE"/>
    <w:rsid w:val="00871313"/>
    <w:rsid w:val="008733DA"/>
    <w:rsid w:val="00873FF8"/>
    <w:rsid w:val="008740C4"/>
    <w:rsid w:val="00875BDE"/>
    <w:rsid w:val="00883409"/>
    <w:rsid w:val="00883C7B"/>
    <w:rsid w:val="008842FC"/>
    <w:rsid w:val="00884A13"/>
    <w:rsid w:val="008850E4"/>
    <w:rsid w:val="008854CD"/>
    <w:rsid w:val="008869A0"/>
    <w:rsid w:val="00890DEA"/>
    <w:rsid w:val="0089128E"/>
    <w:rsid w:val="00891528"/>
    <w:rsid w:val="00892D3D"/>
    <w:rsid w:val="008939AB"/>
    <w:rsid w:val="00894572"/>
    <w:rsid w:val="00894B3E"/>
    <w:rsid w:val="008A12F5"/>
    <w:rsid w:val="008A2EB6"/>
    <w:rsid w:val="008A317E"/>
    <w:rsid w:val="008A3464"/>
    <w:rsid w:val="008A6152"/>
    <w:rsid w:val="008B1587"/>
    <w:rsid w:val="008B1B01"/>
    <w:rsid w:val="008B21F0"/>
    <w:rsid w:val="008B304E"/>
    <w:rsid w:val="008B3BCD"/>
    <w:rsid w:val="008B4F6A"/>
    <w:rsid w:val="008B5F5E"/>
    <w:rsid w:val="008B6DF8"/>
    <w:rsid w:val="008B7144"/>
    <w:rsid w:val="008B7AF8"/>
    <w:rsid w:val="008C028F"/>
    <w:rsid w:val="008C106C"/>
    <w:rsid w:val="008C10F1"/>
    <w:rsid w:val="008C12D8"/>
    <w:rsid w:val="008C1926"/>
    <w:rsid w:val="008C1D0D"/>
    <w:rsid w:val="008C1E99"/>
    <w:rsid w:val="008C5CF0"/>
    <w:rsid w:val="008C5E9D"/>
    <w:rsid w:val="008D0FEB"/>
    <w:rsid w:val="008D1A43"/>
    <w:rsid w:val="008D222E"/>
    <w:rsid w:val="008D2A80"/>
    <w:rsid w:val="008D61E9"/>
    <w:rsid w:val="008D6B7A"/>
    <w:rsid w:val="008D7603"/>
    <w:rsid w:val="008E0085"/>
    <w:rsid w:val="008E2AA6"/>
    <w:rsid w:val="008E2BB4"/>
    <w:rsid w:val="008E311B"/>
    <w:rsid w:val="008E516A"/>
    <w:rsid w:val="008E69E4"/>
    <w:rsid w:val="008F2396"/>
    <w:rsid w:val="008F26C8"/>
    <w:rsid w:val="008F2C33"/>
    <w:rsid w:val="008F39A8"/>
    <w:rsid w:val="008F3D43"/>
    <w:rsid w:val="008F46E7"/>
    <w:rsid w:val="008F4C5A"/>
    <w:rsid w:val="008F55E5"/>
    <w:rsid w:val="008F6F0B"/>
    <w:rsid w:val="00900522"/>
    <w:rsid w:val="00902B4D"/>
    <w:rsid w:val="00907BA7"/>
    <w:rsid w:val="0091064E"/>
    <w:rsid w:val="00910CC7"/>
    <w:rsid w:val="00910E9D"/>
    <w:rsid w:val="00911FC5"/>
    <w:rsid w:val="00914845"/>
    <w:rsid w:val="0091621E"/>
    <w:rsid w:val="00916263"/>
    <w:rsid w:val="00917B5C"/>
    <w:rsid w:val="009233DD"/>
    <w:rsid w:val="00924DCB"/>
    <w:rsid w:val="00925784"/>
    <w:rsid w:val="00926FDB"/>
    <w:rsid w:val="0092798D"/>
    <w:rsid w:val="00931A10"/>
    <w:rsid w:val="009331C3"/>
    <w:rsid w:val="009344FA"/>
    <w:rsid w:val="00935BB2"/>
    <w:rsid w:val="00936E47"/>
    <w:rsid w:val="00937C41"/>
    <w:rsid w:val="00947463"/>
    <w:rsid w:val="0094785F"/>
    <w:rsid w:val="00947967"/>
    <w:rsid w:val="009507D0"/>
    <w:rsid w:val="00952C90"/>
    <w:rsid w:val="00954AF1"/>
    <w:rsid w:val="00955201"/>
    <w:rsid w:val="00955A7C"/>
    <w:rsid w:val="0095645F"/>
    <w:rsid w:val="00957423"/>
    <w:rsid w:val="009620B6"/>
    <w:rsid w:val="009637A2"/>
    <w:rsid w:val="00965200"/>
    <w:rsid w:val="009668B3"/>
    <w:rsid w:val="00966CA9"/>
    <w:rsid w:val="00971471"/>
    <w:rsid w:val="00975651"/>
    <w:rsid w:val="00976526"/>
    <w:rsid w:val="00977B7B"/>
    <w:rsid w:val="00977FF1"/>
    <w:rsid w:val="0098074B"/>
    <w:rsid w:val="009817B6"/>
    <w:rsid w:val="00982223"/>
    <w:rsid w:val="00982BA4"/>
    <w:rsid w:val="00983AF0"/>
    <w:rsid w:val="009849C2"/>
    <w:rsid w:val="00984D24"/>
    <w:rsid w:val="0098561C"/>
    <w:rsid w:val="009858EB"/>
    <w:rsid w:val="00985971"/>
    <w:rsid w:val="009875DB"/>
    <w:rsid w:val="00997A14"/>
    <w:rsid w:val="009A01EE"/>
    <w:rsid w:val="009A0977"/>
    <w:rsid w:val="009A13D0"/>
    <w:rsid w:val="009A4C2A"/>
    <w:rsid w:val="009A59E2"/>
    <w:rsid w:val="009A5C0E"/>
    <w:rsid w:val="009A63E2"/>
    <w:rsid w:val="009A715B"/>
    <w:rsid w:val="009B0046"/>
    <w:rsid w:val="009B0EF3"/>
    <w:rsid w:val="009B1EDB"/>
    <w:rsid w:val="009B2FAE"/>
    <w:rsid w:val="009B57B6"/>
    <w:rsid w:val="009C1440"/>
    <w:rsid w:val="009C1AC7"/>
    <w:rsid w:val="009C2107"/>
    <w:rsid w:val="009C24EC"/>
    <w:rsid w:val="009C2D94"/>
    <w:rsid w:val="009C36EC"/>
    <w:rsid w:val="009C58EE"/>
    <w:rsid w:val="009C5D9E"/>
    <w:rsid w:val="009D1820"/>
    <w:rsid w:val="009D2C3E"/>
    <w:rsid w:val="009D4830"/>
    <w:rsid w:val="009E0130"/>
    <w:rsid w:val="009E0625"/>
    <w:rsid w:val="009E0AA9"/>
    <w:rsid w:val="009E3034"/>
    <w:rsid w:val="009E3B27"/>
    <w:rsid w:val="009E3DD9"/>
    <w:rsid w:val="009E4C02"/>
    <w:rsid w:val="009E549F"/>
    <w:rsid w:val="009E5B61"/>
    <w:rsid w:val="009E7A00"/>
    <w:rsid w:val="009F0FD8"/>
    <w:rsid w:val="009F1BFD"/>
    <w:rsid w:val="009F26D8"/>
    <w:rsid w:val="009F28A8"/>
    <w:rsid w:val="009F29D8"/>
    <w:rsid w:val="009F39A9"/>
    <w:rsid w:val="009F4075"/>
    <w:rsid w:val="009F42EE"/>
    <w:rsid w:val="009F473E"/>
    <w:rsid w:val="009F682A"/>
    <w:rsid w:val="009F6E26"/>
    <w:rsid w:val="00A012B3"/>
    <w:rsid w:val="00A022BE"/>
    <w:rsid w:val="00A02895"/>
    <w:rsid w:val="00A03370"/>
    <w:rsid w:val="00A05006"/>
    <w:rsid w:val="00A05C82"/>
    <w:rsid w:val="00A066F1"/>
    <w:rsid w:val="00A11EA5"/>
    <w:rsid w:val="00A1209C"/>
    <w:rsid w:val="00A141FA"/>
    <w:rsid w:val="00A144BB"/>
    <w:rsid w:val="00A146DC"/>
    <w:rsid w:val="00A15C05"/>
    <w:rsid w:val="00A220EF"/>
    <w:rsid w:val="00A225CD"/>
    <w:rsid w:val="00A23610"/>
    <w:rsid w:val="00A23800"/>
    <w:rsid w:val="00A23E0F"/>
    <w:rsid w:val="00A23E1F"/>
    <w:rsid w:val="00A24C95"/>
    <w:rsid w:val="00A2599A"/>
    <w:rsid w:val="00A26094"/>
    <w:rsid w:val="00A26D90"/>
    <w:rsid w:val="00A301BF"/>
    <w:rsid w:val="00A302B2"/>
    <w:rsid w:val="00A31667"/>
    <w:rsid w:val="00A324C4"/>
    <w:rsid w:val="00A32EDE"/>
    <w:rsid w:val="00A330CE"/>
    <w:rsid w:val="00A331B4"/>
    <w:rsid w:val="00A343E9"/>
    <w:rsid w:val="00A3484E"/>
    <w:rsid w:val="00A356D3"/>
    <w:rsid w:val="00A36ADA"/>
    <w:rsid w:val="00A40DA2"/>
    <w:rsid w:val="00A415DA"/>
    <w:rsid w:val="00A43850"/>
    <w:rsid w:val="00A438D8"/>
    <w:rsid w:val="00A44299"/>
    <w:rsid w:val="00A44FB1"/>
    <w:rsid w:val="00A45870"/>
    <w:rsid w:val="00A46098"/>
    <w:rsid w:val="00A46393"/>
    <w:rsid w:val="00A46F1E"/>
    <w:rsid w:val="00A473F5"/>
    <w:rsid w:val="00A47402"/>
    <w:rsid w:val="00A47A1B"/>
    <w:rsid w:val="00A504A7"/>
    <w:rsid w:val="00A50FAC"/>
    <w:rsid w:val="00A51F9D"/>
    <w:rsid w:val="00A53A80"/>
    <w:rsid w:val="00A5416A"/>
    <w:rsid w:val="00A55841"/>
    <w:rsid w:val="00A564DB"/>
    <w:rsid w:val="00A56BD8"/>
    <w:rsid w:val="00A57D00"/>
    <w:rsid w:val="00A6028F"/>
    <w:rsid w:val="00A618F6"/>
    <w:rsid w:val="00A61901"/>
    <w:rsid w:val="00A6336A"/>
    <w:rsid w:val="00A639F4"/>
    <w:rsid w:val="00A648D8"/>
    <w:rsid w:val="00A65D42"/>
    <w:rsid w:val="00A66D50"/>
    <w:rsid w:val="00A7130E"/>
    <w:rsid w:val="00A71A22"/>
    <w:rsid w:val="00A72CD3"/>
    <w:rsid w:val="00A74B9F"/>
    <w:rsid w:val="00A754B7"/>
    <w:rsid w:val="00A76B79"/>
    <w:rsid w:val="00A8027C"/>
    <w:rsid w:val="00A80437"/>
    <w:rsid w:val="00A8168A"/>
    <w:rsid w:val="00A81A32"/>
    <w:rsid w:val="00A835BD"/>
    <w:rsid w:val="00A85632"/>
    <w:rsid w:val="00A85A29"/>
    <w:rsid w:val="00A863C0"/>
    <w:rsid w:val="00A92C28"/>
    <w:rsid w:val="00A94B8A"/>
    <w:rsid w:val="00A97B15"/>
    <w:rsid w:val="00AA2900"/>
    <w:rsid w:val="00AA299D"/>
    <w:rsid w:val="00AA3120"/>
    <w:rsid w:val="00AA42D5"/>
    <w:rsid w:val="00AA4B74"/>
    <w:rsid w:val="00AA7D9D"/>
    <w:rsid w:val="00AB05F9"/>
    <w:rsid w:val="00AB1171"/>
    <w:rsid w:val="00AB2FAB"/>
    <w:rsid w:val="00AB417E"/>
    <w:rsid w:val="00AB45B4"/>
    <w:rsid w:val="00AB5C14"/>
    <w:rsid w:val="00AC1EE7"/>
    <w:rsid w:val="00AC333F"/>
    <w:rsid w:val="00AC4633"/>
    <w:rsid w:val="00AC5731"/>
    <w:rsid w:val="00AC585C"/>
    <w:rsid w:val="00AC68AC"/>
    <w:rsid w:val="00AD0328"/>
    <w:rsid w:val="00AD0B6F"/>
    <w:rsid w:val="00AD179E"/>
    <w:rsid w:val="00AD1925"/>
    <w:rsid w:val="00AD66FC"/>
    <w:rsid w:val="00AD783C"/>
    <w:rsid w:val="00AE006C"/>
    <w:rsid w:val="00AE067D"/>
    <w:rsid w:val="00AE2BC5"/>
    <w:rsid w:val="00AE3D55"/>
    <w:rsid w:val="00AF0DEC"/>
    <w:rsid w:val="00AF1181"/>
    <w:rsid w:val="00AF1C1F"/>
    <w:rsid w:val="00AF2798"/>
    <w:rsid w:val="00AF2F79"/>
    <w:rsid w:val="00AF2FBB"/>
    <w:rsid w:val="00AF30EB"/>
    <w:rsid w:val="00AF4653"/>
    <w:rsid w:val="00AF4B0E"/>
    <w:rsid w:val="00AF5107"/>
    <w:rsid w:val="00AF7DB7"/>
    <w:rsid w:val="00B052AF"/>
    <w:rsid w:val="00B06AA9"/>
    <w:rsid w:val="00B10EA7"/>
    <w:rsid w:val="00B1288B"/>
    <w:rsid w:val="00B13DB8"/>
    <w:rsid w:val="00B1454F"/>
    <w:rsid w:val="00B1457B"/>
    <w:rsid w:val="00B149EA"/>
    <w:rsid w:val="00B15083"/>
    <w:rsid w:val="00B15FBF"/>
    <w:rsid w:val="00B201E2"/>
    <w:rsid w:val="00B2351A"/>
    <w:rsid w:val="00B2372F"/>
    <w:rsid w:val="00B23DA0"/>
    <w:rsid w:val="00B25815"/>
    <w:rsid w:val="00B25EA0"/>
    <w:rsid w:val="00B32665"/>
    <w:rsid w:val="00B342D6"/>
    <w:rsid w:val="00B37B78"/>
    <w:rsid w:val="00B37BAB"/>
    <w:rsid w:val="00B42631"/>
    <w:rsid w:val="00B42C61"/>
    <w:rsid w:val="00B443E4"/>
    <w:rsid w:val="00B45771"/>
    <w:rsid w:val="00B4632F"/>
    <w:rsid w:val="00B46E8A"/>
    <w:rsid w:val="00B53A03"/>
    <w:rsid w:val="00B54704"/>
    <w:rsid w:val="00B56070"/>
    <w:rsid w:val="00B563EA"/>
    <w:rsid w:val="00B57E6D"/>
    <w:rsid w:val="00B608EE"/>
    <w:rsid w:val="00B60C72"/>
    <w:rsid w:val="00B60D93"/>
    <w:rsid w:val="00B60E51"/>
    <w:rsid w:val="00B61D6E"/>
    <w:rsid w:val="00B63A54"/>
    <w:rsid w:val="00B6445F"/>
    <w:rsid w:val="00B65DF8"/>
    <w:rsid w:val="00B65E13"/>
    <w:rsid w:val="00B6620A"/>
    <w:rsid w:val="00B679F5"/>
    <w:rsid w:val="00B67B4D"/>
    <w:rsid w:val="00B7114F"/>
    <w:rsid w:val="00B715E0"/>
    <w:rsid w:val="00B7253B"/>
    <w:rsid w:val="00B760DD"/>
    <w:rsid w:val="00B761AB"/>
    <w:rsid w:val="00B761E2"/>
    <w:rsid w:val="00B77D18"/>
    <w:rsid w:val="00B820E5"/>
    <w:rsid w:val="00B8313A"/>
    <w:rsid w:val="00B83647"/>
    <w:rsid w:val="00B84825"/>
    <w:rsid w:val="00B84F05"/>
    <w:rsid w:val="00B85D9A"/>
    <w:rsid w:val="00B874B3"/>
    <w:rsid w:val="00B93503"/>
    <w:rsid w:val="00B943E5"/>
    <w:rsid w:val="00B94CF0"/>
    <w:rsid w:val="00B95A0D"/>
    <w:rsid w:val="00B97454"/>
    <w:rsid w:val="00BA1809"/>
    <w:rsid w:val="00BA31E8"/>
    <w:rsid w:val="00BA4BE3"/>
    <w:rsid w:val="00BA55E0"/>
    <w:rsid w:val="00BA6167"/>
    <w:rsid w:val="00BA6BD4"/>
    <w:rsid w:val="00BA6C7A"/>
    <w:rsid w:val="00BB2B67"/>
    <w:rsid w:val="00BB3752"/>
    <w:rsid w:val="00BB3A5C"/>
    <w:rsid w:val="00BB6688"/>
    <w:rsid w:val="00BB7E5B"/>
    <w:rsid w:val="00BC26D4"/>
    <w:rsid w:val="00BC427B"/>
    <w:rsid w:val="00BC58AB"/>
    <w:rsid w:val="00BC603D"/>
    <w:rsid w:val="00BD28C3"/>
    <w:rsid w:val="00BD2A84"/>
    <w:rsid w:val="00BD3A9E"/>
    <w:rsid w:val="00BD4B99"/>
    <w:rsid w:val="00BD65C5"/>
    <w:rsid w:val="00BE0C80"/>
    <w:rsid w:val="00BE103E"/>
    <w:rsid w:val="00BE17F3"/>
    <w:rsid w:val="00BE19A1"/>
    <w:rsid w:val="00BE6D50"/>
    <w:rsid w:val="00BE768B"/>
    <w:rsid w:val="00BF0EF0"/>
    <w:rsid w:val="00BF0FF9"/>
    <w:rsid w:val="00BF2A42"/>
    <w:rsid w:val="00BF6281"/>
    <w:rsid w:val="00BF6A26"/>
    <w:rsid w:val="00BF6FF8"/>
    <w:rsid w:val="00C009CF"/>
    <w:rsid w:val="00C039DF"/>
    <w:rsid w:val="00C03D8C"/>
    <w:rsid w:val="00C03E78"/>
    <w:rsid w:val="00C040F4"/>
    <w:rsid w:val="00C055EC"/>
    <w:rsid w:val="00C06098"/>
    <w:rsid w:val="00C06188"/>
    <w:rsid w:val="00C0645F"/>
    <w:rsid w:val="00C10DC9"/>
    <w:rsid w:val="00C12B80"/>
    <w:rsid w:val="00C12FB3"/>
    <w:rsid w:val="00C14440"/>
    <w:rsid w:val="00C17341"/>
    <w:rsid w:val="00C233BD"/>
    <w:rsid w:val="00C23A2E"/>
    <w:rsid w:val="00C24EEF"/>
    <w:rsid w:val="00C25CF6"/>
    <w:rsid w:val="00C26AEE"/>
    <w:rsid w:val="00C26C36"/>
    <w:rsid w:val="00C26E89"/>
    <w:rsid w:val="00C30F1F"/>
    <w:rsid w:val="00C32768"/>
    <w:rsid w:val="00C32D4A"/>
    <w:rsid w:val="00C34E02"/>
    <w:rsid w:val="00C36089"/>
    <w:rsid w:val="00C37E6F"/>
    <w:rsid w:val="00C41C89"/>
    <w:rsid w:val="00C428A0"/>
    <w:rsid w:val="00C42AD6"/>
    <w:rsid w:val="00C42B4C"/>
    <w:rsid w:val="00C431DF"/>
    <w:rsid w:val="00C437E4"/>
    <w:rsid w:val="00C454C6"/>
    <w:rsid w:val="00C456BD"/>
    <w:rsid w:val="00C476FA"/>
    <w:rsid w:val="00C5020E"/>
    <w:rsid w:val="00C515F3"/>
    <w:rsid w:val="00C51B45"/>
    <w:rsid w:val="00C51DAF"/>
    <w:rsid w:val="00C52F82"/>
    <w:rsid w:val="00C530DC"/>
    <w:rsid w:val="00C5350D"/>
    <w:rsid w:val="00C537BD"/>
    <w:rsid w:val="00C56197"/>
    <w:rsid w:val="00C575CF"/>
    <w:rsid w:val="00C57F34"/>
    <w:rsid w:val="00C60D0D"/>
    <w:rsid w:val="00C6123C"/>
    <w:rsid w:val="00C6311A"/>
    <w:rsid w:val="00C6337B"/>
    <w:rsid w:val="00C64E23"/>
    <w:rsid w:val="00C653B5"/>
    <w:rsid w:val="00C70405"/>
    <w:rsid w:val="00C70613"/>
    <w:rsid w:val="00C7084D"/>
    <w:rsid w:val="00C7089D"/>
    <w:rsid w:val="00C7315E"/>
    <w:rsid w:val="00C74340"/>
    <w:rsid w:val="00C75895"/>
    <w:rsid w:val="00C75E67"/>
    <w:rsid w:val="00C76147"/>
    <w:rsid w:val="00C77967"/>
    <w:rsid w:val="00C80AF7"/>
    <w:rsid w:val="00C83587"/>
    <w:rsid w:val="00C83C9F"/>
    <w:rsid w:val="00C8524B"/>
    <w:rsid w:val="00C8532F"/>
    <w:rsid w:val="00C86599"/>
    <w:rsid w:val="00C90F21"/>
    <w:rsid w:val="00C91D40"/>
    <w:rsid w:val="00C9308B"/>
    <w:rsid w:val="00C94840"/>
    <w:rsid w:val="00C95315"/>
    <w:rsid w:val="00C96A35"/>
    <w:rsid w:val="00C9752C"/>
    <w:rsid w:val="00CA1F6C"/>
    <w:rsid w:val="00CA36F2"/>
    <w:rsid w:val="00CA4310"/>
    <w:rsid w:val="00CA4EE3"/>
    <w:rsid w:val="00CA5642"/>
    <w:rsid w:val="00CA6509"/>
    <w:rsid w:val="00CA78BD"/>
    <w:rsid w:val="00CA7FAC"/>
    <w:rsid w:val="00CB027F"/>
    <w:rsid w:val="00CB2118"/>
    <w:rsid w:val="00CB44F4"/>
    <w:rsid w:val="00CB49D9"/>
    <w:rsid w:val="00CB60B1"/>
    <w:rsid w:val="00CB60D4"/>
    <w:rsid w:val="00CB63BB"/>
    <w:rsid w:val="00CC0EBB"/>
    <w:rsid w:val="00CC2E8F"/>
    <w:rsid w:val="00CC6297"/>
    <w:rsid w:val="00CC7690"/>
    <w:rsid w:val="00CD1986"/>
    <w:rsid w:val="00CD51F9"/>
    <w:rsid w:val="00CD54BF"/>
    <w:rsid w:val="00CD73AA"/>
    <w:rsid w:val="00CD7C9F"/>
    <w:rsid w:val="00CE12AB"/>
    <w:rsid w:val="00CE2263"/>
    <w:rsid w:val="00CE2406"/>
    <w:rsid w:val="00CE4D5C"/>
    <w:rsid w:val="00CE655C"/>
    <w:rsid w:val="00CE7593"/>
    <w:rsid w:val="00CF0127"/>
    <w:rsid w:val="00CF05DA"/>
    <w:rsid w:val="00CF0877"/>
    <w:rsid w:val="00CF0B76"/>
    <w:rsid w:val="00CF0DE9"/>
    <w:rsid w:val="00CF4127"/>
    <w:rsid w:val="00CF552C"/>
    <w:rsid w:val="00CF5687"/>
    <w:rsid w:val="00CF58EB"/>
    <w:rsid w:val="00CF6FEC"/>
    <w:rsid w:val="00D0106E"/>
    <w:rsid w:val="00D01C7A"/>
    <w:rsid w:val="00D02B16"/>
    <w:rsid w:val="00D0420A"/>
    <w:rsid w:val="00D04A12"/>
    <w:rsid w:val="00D050E1"/>
    <w:rsid w:val="00D06383"/>
    <w:rsid w:val="00D11653"/>
    <w:rsid w:val="00D15D60"/>
    <w:rsid w:val="00D162B6"/>
    <w:rsid w:val="00D205F6"/>
    <w:rsid w:val="00D208DF"/>
    <w:rsid w:val="00D20E85"/>
    <w:rsid w:val="00D210DA"/>
    <w:rsid w:val="00D2455E"/>
    <w:rsid w:val="00D24615"/>
    <w:rsid w:val="00D259CE"/>
    <w:rsid w:val="00D36DFD"/>
    <w:rsid w:val="00D36EC9"/>
    <w:rsid w:val="00D37842"/>
    <w:rsid w:val="00D41F9A"/>
    <w:rsid w:val="00D41FF2"/>
    <w:rsid w:val="00D42241"/>
    <w:rsid w:val="00D42A5D"/>
    <w:rsid w:val="00D42DC2"/>
    <w:rsid w:val="00D4322D"/>
    <w:rsid w:val="00D43866"/>
    <w:rsid w:val="00D4559B"/>
    <w:rsid w:val="00D4643A"/>
    <w:rsid w:val="00D47A6B"/>
    <w:rsid w:val="00D512C3"/>
    <w:rsid w:val="00D537E1"/>
    <w:rsid w:val="00D556C3"/>
    <w:rsid w:val="00D55BB2"/>
    <w:rsid w:val="00D57E78"/>
    <w:rsid w:val="00D6091A"/>
    <w:rsid w:val="00D60937"/>
    <w:rsid w:val="00D61E9E"/>
    <w:rsid w:val="00D622C6"/>
    <w:rsid w:val="00D63FA5"/>
    <w:rsid w:val="00D64EE0"/>
    <w:rsid w:val="00D65A38"/>
    <w:rsid w:val="00D6605A"/>
    <w:rsid w:val="00D6695F"/>
    <w:rsid w:val="00D67E79"/>
    <w:rsid w:val="00D708F9"/>
    <w:rsid w:val="00D730BE"/>
    <w:rsid w:val="00D7433F"/>
    <w:rsid w:val="00D752E9"/>
    <w:rsid w:val="00D75644"/>
    <w:rsid w:val="00D75696"/>
    <w:rsid w:val="00D75F4F"/>
    <w:rsid w:val="00D767B2"/>
    <w:rsid w:val="00D76CD0"/>
    <w:rsid w:val="00D77E85"/>
    <w:rsid w:val="00D80C85"/>
    <w:rsid w:val="00D8115A"/>
    <w:rsid w:val="00D81656"/>
    <w:rsid w:val="00D81986"/>
    <w:rsid w:val="00D8217C"/>
    <w:rsid w:val="00D83D87"/>
    <w:rsid w:val="00D84A6D"/>
    <w:rsid w:val="00D86A30"/>
    <w:rsid w:val="00D9178E"/>
    <w:rsid w:val="00D93B39"/>
    <w:rsid w:val="00D94979"/>
    <w:rsid w:val="00D96708"/>
    <w:rsid w:val="00D97CB4"/>
    <w:rsid w:val="00D97DD4"/>
    <w:rsid w:val="00D97EAF"/>
    <w:rsid w:val="00DA087C"/>
    <w:rsid w:val="00DA3555"/>
    <w:rsid w:val="00DA5A8A"/>
    <w:rsid w:val="00DB15C1"/>
    <w:rsid w:val="00DB17FD"/>
    <w:rsid w:val="00DB26CD"/>
    <w:rsid w:val="00DB441C"/>
    <w:rsid w:val="00DB44AF"/>
    <w:rsid w:val="00DB44C4"/>
    <w:rsid w:val="00DB692F"/>
    <w:rsid w:val="00DC0DC6"/>
    <w:rsid w:val="00DC1F58"/>
    <w:rsid w:val="00DC339B"/>
    <w:rsid w:val="00DC5D40"/>
    <w:rsid w:val="00DC69A7"/>
    <w:rsid w:val="00DD1586"/>
    <w:rsid w:val="00DD2FB0"/>
    <w:rsid w:val="00DD30E9"/>
    <w:rsid w:val="00DD4A9E"/>
    <w:rsid w:val="00DD4F47"/>
    <w:rsid w:val="00DD5903"/>
    <w:rsid w:val="00DD7069"/>
    <w:rsid w:val="00DD7578"/>
    <w:rsid w:val="00DD7FBB"/>
    <w:rsid w:val="00DE0B9F"/>
    <w:rsid w:val="00DE0FBB"/>
    <w:rsid w:val="00DE1F26"/>
    <w:rsid w:val="00DE3DF8"/>
    <w:rsid w:val="00DE4238"/>
    <w:rsid w:val="00DE54A9"/>
    <w:rsid w:val="00DE570C"/>
    <w:rsid w:val="00DE59AD"/>
    <w:rsid w:val="00DE657F"/>
    <w:rsid w:val="00DE667E"/>
    <w:rsid w:val="00DE6BBA"/>
    <w:rsid w:val="00DF1218"/>
    <w:rsid w:val="00DF1CA9"/>
    <w:rsid w:val="00DF6283"/>
    <w:rsid w:val="00DF6462"/>
    <w:rsid w:val="00DF7C48"/>
    <w:rsid w:val="00E00C0C"/>
    <w:rsid w:val="00E01A30"/>
    <w:rsid w:val="00E0290E"/>
    <w:rsid w:val="00E02FA0"/>
    <w:rsid w:val="00E036DC"/>
    <w:rsid w:val="00E04207"/>
    <w:rsid w:val="00E05217"/>
    <w:rsid w:val="00E05F12"/>
    <w:rsid w:val="00E10454"/>
    <w:rsid w:val="00E1085D"/>
    <w:rsid w:val="00E112E5"/>
    <w:rsid w:val="00E11D1C"/>
    <w:rsid w:val="00E1205B"/>
    <w:rsid w:val="00E1246F"/>
    <w:rsid w:val="00E12CC8"/>
    <w:rsid w:val="00E137F4"/>
    <w:rsid w:val="00E15352"/>
    <w:rsid w:val="00E16EE6"/>
    <w:rsid w:val="00E2070A"/>
    <w:rsid w:val="00E21B90"/>
    <w:rsid w:val="00E21CC7"/>
    <w:rsid w:val="00E23000"/>
    <w:rsid w:val="00E23FBA"/>
    <w:rsid w:val="00E24272"/>
    <w:rsid w:val="00E24C30"/>
    <w:rsid w:val="00E24D9E"/>
    <w:rsid w:val="00E255F4"/>
    <w:rsid w:val="00E25849"/>
    <w:rsid w:val="00E26D24"/>
    <w:rsid w:val="00E30F66"/>
    <w:rsid w:val="00E3177C"/>
    <w:rsid w:val="00E3197E"/>
    <w:rsid w:val="00E32593"/>
    <w:rsid w:val="00E342F8"/>
    <w:rsid w:val="00E351ED"/>
    <w:rsid w:val="00E35365"/>
    <w:rsid w:val="00E35666"/>
    <w:rsid w:val="00E3702F"/>
    <w:rsid w:val="00E41A19"/>
    <w:rsid w:val="00E425A2"/>
    <w:rsid w:val="00E42A11"/>
    <w:rsid w:val="00E4308B"/>
    <w:rsid w:val="00E43F39"/>
    <w:rsid w:val="00E4407D"/>
    <w:rsid w:val="00E471F1"/>
    <w:rsid w:val="00E479F9"/>
    <w:rsid w:val="00E52707"/>
    <w:rsid w:val="00E544E6"/>
    <w:rsid w:val="00E5583E"/>
    <w:rsid w:val="00E57B0B"/>
    <w:rsid w:val="00E6034B"/>
    <w:rsid w:val="00E61AAD"/>
    <w:rsid w:val="00E62F7F"/>
    <w:rsid w:val="00E6370F"/>
    <w:rsid w:val="00E63C1D"/>
    <w:rsid w:val="00E63E27"/>
    <w:rsid w:val="00E6529A"/>
    <w:rsid w:val="00E6549E"/>
    <w:rsid w:val="00E65EDE"/>
    <w:rsid w:val="00E67471"/>
    <w:rsid w:val="00E67551"/>
    <w:rsid w:val="00E70489"/>
    <w:rsid w:val="00E70F81"/>
    <w:rsid w:val="00E73731"/>
    <w:rsid w:val="00E74B80"/>
    <w:rsid w:val="00E765F1"/>
    <w:rsid w:val="00E76CC8"/>
    <w:rsid w:val="00E77055"/>
    <w:rsid w:val="00E77460"/>
    <w:rsid w:val="00E779A6"/>
    <w:rsid w:val="00E82A76"/>
    <w:rsid w:val="00E83A90"/>
    <w:rsid w:val="00E83ABC"/>
    <w:rsid w:val="00E844F2"/>
    <w:rsid w:val="00E861DC"/>
    <w:rsid w:val="00E878DD"/>
    <w:rsid w:val="00E90AD0"/>
    <w:rsid w:val="00E91168"/>
    <w:rsid w:val="00E91231"/>
    <w:rsid w:val="00E92FCB"/>
    <w:rsid w:val="00E961E8"/>
    <w:rsid w:val="00E963E8"/>
    <w:rsid w:val="00E96CF5"/>
    <w:rsid w:val="00E97FDF"/>
    <w:rsid w:val="00EA147F"/>
    <w:rsid w:val="00EA2ABC"/>
    <w:rsid w:val="00EA4A27"/>
    <w:rsid w:val="00EA4FA6"/>
    <w:rsid w:val="00EB1A25"/>
    <w:rsid w:val="00EB2457"/>
    <w:rsid w:val="00EB3B3E"/>
    <w:rsid w:val="00EB45EC"/>
    <w:rsid w:val="00EB4A80"/>
    <w:rsid w:val="00EB584F"/>
    <w:rsid w:val="00EC0392"/>
    <w:rsid w:val="00EC0A5A"/>
    <w:rsid w:val="00EC1968"/>
    <w:rsid w:val="00EC3E3C"/>
    <w:rsid w:val="00EC6A7C"/>
    <w:rsid w:val="00ED002C"/>
    <w:rsid w:val="00ED03AB"/>
    <w:rsid w:val="00ED1CD4"/>
    <w:rsid w:val="00ED1D2B"/>
    <w:rsid w:val="00ED212C"/>
    <w:rsid w:val="00ED53A2"/>
    <w:rsid w:val="00ED5F89"/>
    <w:rsid w:val="00ED6004"/>
    <w:rsid w:val="00ED64B5"/>
    <w:rsid w:val="00ED6E26"/>
    <w:rsid w:val="00ED74D4"/>
    <w:rsid w:val="00ED77CD"/>
    <w:rsid w:val="00EE0005"/>
    <w:rsid w:val="00EE6694"/>
    <w:rsid w:val="00EE7CCA"/>
    <w:rsid w:val="00EF0DFD"/>
    <w:rsid w:val="00EF2AEE"/>
    <w:rsid w:val="00EF674A"/>
    <w:rsid w:val="00EF6B1E"/>
    <w:rsid w:val="00EF7329"/>
    <w:rsid w:val="00EF7BF5"/>
    <w:rsid w:val="00EF7F4A"/>
    <w:rsid w:val="00F00684"/>
    <w:rsid w:val="00F01EFE"/>
    <w:rsid w:val="00F02A1F"/>
    <w:rsid w:val="00F03493"/>
    <w:rsid w:val="00F07C51"/>
    <w:rsid w:val="00F07FF2"/>
    <w:rsid w:val="00F10976"/>
    <w:rsid w:val="00F14446"/>
    <w:rsid w:val="00F16536"/>
    <w:rsid w:val="00F16A14"/>
    <w:rsid w:val="00F16D2F"/>
    <w:rsid w:val="00F21FB9"/>
    <w:rsid w:val="00F229C2"/>
    <w:rsid w:val="00F22EA2"/>
    <w:rsid w:val="00F23093"/>
    <w:rsid w:val="00F23BDD"/>
    <w:rsid w:val="00F2652A"/>
    <w:rsid w:val="00F30E89"/>
    <w:rsid w:val="00F318B0"/>
    <w:rsid w:val="00F31A39"/>
    <w:rsid w:val="00F351CB"/>
    <w:rsid w:val="00F3587A"/>
    <w:rsid w:val="00F358BC"/>
    <w:rsid w:val="00F35C56"/>
    <w:rsid w:val="00F362D7"/>
    <w:rsid w:val="00F37D7B"/>
    <w:rsid w:val="00F409AE"/>
    <w:rsid w:val="00F414ED"/>
    <w:rsid w:val="00F418FD"/>
    <w:rsid w:val="00F422AB"/>
    <w:rsid w:val="00F42395"/>
    <w:rsid w:val="00F47C57"/>
    <w:rsid w:val="00F47F38"/>
    <w:rsid w:val="00F50C6A"/>
    <w:rsid w:val="00F5150B"/>
    <w:rsid w:val="00F515C4"/>
    <w:rsid w:val="00F52D95"/>
    <w:rsid w:val="00F5314C"/>
    <w:rsid w:val="00F5688C"/>
    <w:rsid w:val="00F572CC"/>
    <w:rsid w:val="00F57991"/>
    <w:rsid w:val="00F61134"/>
    <w:rsid w:val="00F611FA"/>
    <w:rsid w:val="00F6252C"/>
    <w:rsid w:val="00F635DD"/>
    <w:rsid w:val="00F64AC8"/>
    <w:rsid w:val="00F6627B"/>
    <w:rsid w:val="00F710CB"/>
    <w:rsid w:val="00F7197D"/>
    <w:rsid w:val="00F7271D"/>
    <w:rsid w:val="00F7336E"/>
    <w:rsid w:val="00F734F2"/>
    <w:rsid w:val="00F74183"/>
    <w:rsid w:val="00F74591"/>
    <w:rsid w:val="00F75052"/>
    <w:rsid w:val="00F76032"/>
    <w:rsid w:val="00F768D9"/>
    <w:rsid w:val="00F76D9B"/>
    <w:rsid w:val="00F77AD6"/>
    <w:rsid w:val="00F77F3C"/>
    <w:rsid w:val="00F804D3"/>
    <w:rsid w:val="00F80521"/>
    <w:rsid w:val="00F81053"/>
    <w:rsid w:val="00F819D0"/>
    <w:rsid w:val="00F81CD2"/>
    <w:rsid w:val="00F82402"/>
    <w:rsid w:val="00F82641"/>
    <w:rsid w:val="00F84330"/>
    <w:rsid w:val="00F84B21"/>
    <w:rsid w:val="00F85B79"/>
    <w:rsid w:val="00F86013"/>
    <w:rsid w:val="00F87FC3"/>
    <w:rsid w:val="00F90F18"/>
    <w:rsid w:val="00F91CC3"/>
    <w:rsid w:val="00F91FB8"/>
    <w:rsid w:val="00F92C6F"/>
    <w:rsid w:val="00F937E4"/>
    <w:rsid w:val="00F95890"/>
    <w:rsid w:val="00F95EE7"/>
    <w:rsid w:val="00F96E81"/>
    <w:rsid w:val="00F97213"/>
    <w:rsid w:val="00FA03C8"/>
    <w:rsid w:val="00FA0D2A"/>
    <w:rsid w:val="00FA3181"/>
    <w:rsid w:val="00FA39E6"/>
    <w:rsid w:val="00FA7BC9"/>
    <w:rsid w:val="00FB378E"/>
    <w:rsid w:val="00FB37F1"/>
    <w:rsid w:val="00FB3B46"/>
    <w:rsid w:val="00FB3F52"/>
    <w:rsid w:val="00FB47C0"/>
    <w:rsid w:val="00FB501B"/>
    <w:rsid w:val="00FB52E6"/>
    <w:rsid w:val="00FB7770"/>
    <w:rsid w:val="00FC0AA5"/>
    <w:rsid w:val="00FC1B1E"/>
    <w:rsid w:val="00FC2AB0"/>
    <w:rsid w:val="00FC3515"/>
    <w:rsid w:val="00FC6070"/>
    <w:rsid w:val="00FD00DB"/>
    <w:rsid w:val="00FD1353"/>
    <w:rsid w:val="00FD36FC"/>
    <w:rsid w:val="00FD3B91"/>
    <w:rsid w:val="00FD4FBB"/>
    <w:rsid w:val="00FD576B"/>
    <w:rsid w:val="00FD579E"/>
    <w:rsid w:val="00FD60A0"/>
    <w:rsid w:val="00FD636F"/>
    <w:rsid w:val="00FD6845"/>
    <w:rsid w:val="00FD692B"/>
    <w:rsid w:val="00FE0B0E"/>
    <w:rsid w:val="00FE1C71"/>
    <w:rsid w:val="00FE4516"/>
    <w:rsid w:val="00FE5AC9"/>
    <w:rsid w:val="00FE5B4E"/>
    <w:rsid w:val="00FE64C8"/>
    <w:rsid w:val="00FE7611"/>
    <w:rsid w:val="00FE7DD8"/>
    <w:rsid w:val="00FE7DE1"/>
    <w:rsid w:val="00FF020F"/>
    <w:rsid w:val="00FF1AF4"/>
    <w:rsid w:val="00FF66B0"/>
    <w:rsid w:val="00FF6766"/>
    <w:rsid w:val="00FF7F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25213"/>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025A21"/>
    <w:pPr>
      <w:snapToGrid w:val="0"/>
      <w:jc w:val="left"/>
    </w:pPr>
    <w:rPr>
      <w:sz w:val="20"/>
    </w:rPr>
  </w:style>
  <w:style w:type="character" w:customStyle="1" w:styleId="afb">
    <w:name w:val="註腳文字 字元"/>
    <w:basedOn w:val="a7"/>
    <w:link w:val="afa"/>
    <w:uiPriority w:val="99"/>
    <w:semiHidden/>
    <w:rsid w:val="00025A21"/>
    <w:rPr>
      <w:rFonts w:ascii="標楷體" w:eastAsia="標楷體"/>
      <w:kern w:val="2"/>
    </w:rPr>
  </w:style>
  <w:style w:type="character" w:styleId="afc">
    <w:name w:val="footnote reference"/>
    <w:basedOn w:val="a7"/>
    <w:uiPriority w:val="99"/>
    <w:semiHidden/>
    <w:unhideWhenUsed/>
    <w:rsid w:val="00025A21"/>
    <w:rPr>
      <w:vertAlign w:val="superscript"/>
    </w:rPr>
  </w:style>
  <w:style w:type="paragraph" w:styleId="HTML">
    <w:name w:val="HTML Preformatted"/>
    <w:basedOn w:val="a6"/>
    <w:link w:val="HTML0"/>
    <w:uiPriority w:val="99"/>
    <w:unhideWhenUsed/>
    <w:rsid w:val="00795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795AD7"/>
    <w:rPr>
      <w:rFonts w:ascii="細明體" w:eastAsia="細明體" w:hAnsi="細明體" w:cs="細明體"/>
      <w:sz w:val="24"/>
      <w:szCs w:val="24"/>
    </w:rPr>
  </w:style>
  <w:style w:type="character" w:customStyle="1" w:styleId="40">
    <w:name w:val="標題 4 字元"/>
    <w:basedOn w:val="a7"/>
    <w:link w:val="4"/>
    <w:rsid w:val="00F80521"/>
    <w:rPr>
      <w:rFonts w:ascii="標楷體" w:eastAsia="標楷體" w:hAnsi="Arial"/>
      <w:kern w:val="32"/>
      <w:sz w:val="32"/>
      <w:szCs w:val="36"/>
    </w:rPr>
  </w:style>
  <w:style w:type="character" w:customStyle="1" w:styleId="50">
    <w:name w:val="標題 5 字元"/>
    <w:basedOn w:val="a7"/>
    <w:link w:val="5"/>
    <w:rsid w:val="006961CE"/>
    <w:rPr>
      <w:rFonts w:ascii="標楷體" w:eastAsia="標楷體" w:hAnsi="Arial"/>
      <w:bCs/>
      <w:kern w:val="32"/>
      <w:sz w:val="32"/>
      <w:szCs w:val="36"/>
    </w:rPr>
  </w:style>
  <w:style w:type="character" w:customStyle="1" w:styleId="10">
    <w:name w:val="標題 1 字元"/>
    <w:basedOn w:val="a7"/>
    <w:link w:val="1"/>
    <w:rsid w:val="00F07FF2"/>
    <w:rPr>
      <w:rFonts w:ascii="標楷體" w:eastAsia="標楷體" w:hAnsi="Arial"/>
      <w:bCs/>
      <w:kern w:val="32"/>
      <w:sz w:val="32"/>
      <w:szCs w:val="52"/>
    </w:rPr>
  </w:style>
  <w:style w:type="paragraph" w:customStyle="1" w:styleId="smartcontent">
    <w:name w:val="smartcontent"/>
    <w:basedOn w:val="a6"/>
    <w:rsid w:val="001036A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6E7EB5"/>
    <w:rPr>
      <w:rFonts w:ascii="標楷體" w:eastAsia="標楷體" w:hAnsi="Arial"/>
      <w:bCs/>
      <w:kern w:val="32"/>
      <w:sz w:val="32"/>
      <w:szCs w:val="36"/>
    </w:rPr>
  </w:style>
  <w:style w:type="paragraph" w:customStyle="1" w:styleId="afd">
    <w:name w:val="表下註"/>
    <w:basedOn w:val="a6"/>
    <w:link w:val="afe"/>
    <w:qFormat/>
    <w:rsid w:val="00B943E5"/>
    <w:pPr>
      <w:spacing w:line="240" w:lineRule="exact"/>
    </w:pPr>
    <w:rPr>
      <w:sz w:val="20"/>
    </w:rPr>
  </w:style>
  <w:style w:type="paragraph" w:customStyle="1" w:styleId="Default">
    <w:name w:val="Default"/>
    <w:rsid w:val="00B943E5"/>
    <w:pPr>
      <w:widowControl w:val="0"/>
      <w:autoSpaceDE w:val="0"/>
      <w:autoSpaceDN w:val="0"/>
      <w:adjustRightInd w:val="0"/>
    </w:pPr>
    <w:rPr>
      <w:rFonts w:eastAsiaTheme="minorEastAsia"/>
      <w:color w:val="000000"/>
      <w:sz w:val="24"/>
      <w:szCs w:val="24"/>
    </w:rPr>
  </w:style>
  <w:style w:type="character" w:customStyle="1" w:styleId="afe">
    <w:name w:val="表下註 字元"/>
    <w:basedOn w:val="a7"/>
    <w:link w:val="afd"/>
    <w:rsid w:val="00B943E5"/>
    <w:rPr>
      <w:rFonts w:ascii="標楷體" w:eastAsia="標楷體"/>
      <w:kern w:val="2"/>
    </w:rPr>
  </w:style>
  <w:style w:type="character" w:customStyle="1" w:styleId="20">
    <w:name w:val="標題 2 字元"/>
    <w:basedOn w:val="a7"/>
    <w:link w:val="2"/>
    <w:rsid w:val="005A3F0E"/>
    <w:rPr>
      <w:rFonts w:ascii="標楷體" w:eastAsia="標楷體" w:hAnsi="Arial"/>
      <w:bCs/>
      <w:kern w:val="32"/>
      <w:sz w:val="32"/>
      <w:szCs w:val="48"/>
    </w:rPr>
  </w:style>
  <w:style w:type="character" w:styleId="aff">
    <w:name w:val="annotation reference"/>
    <w:basedOn w:val="a7"/>
    <w:uiPriority w:val="99"/>
    <w:semiHidden/>
    <w:unhideWhenUsed/>
    <w:rsid w:val="00D97EAF"/>
    <w:rPr>
      <w:sz w:val="18"/>
      <w:szCs w:val="18"/>
    </w:rPr>
  </w:style>
  <w:style w:type="paragraph" w:styleId="aff0">
    <w:name w:val="annotation text"/>
    <w:basedOn w:val="a6"/>
    <w:link w:val="aff1"/>
    <w:uiPriority w:val="99"/>
    <w:semiHidden/>
    <w:unhideWhenUsed/>
    <w:rsid w:val="00D97EAF"/>
    <w:pPr>
      <w:jc w:val="left"/>
    </w:pPr>
  </w:style>
  <w:style w:type="character" w:customStyle="1" w:styleId="aff1">
    <w:name w:val="註解文字 字元"/>
    <w:basedOn w:val="a7"/>
    <w:link w:val="aff0"/>
    <w:uiPriority w:val="99"/>
    <w:semiHidden/>
    <w:rsid w:val="00D97EAF"/>
    <w:rPr>
      <w:rFonts w:ascii="標楷體" w:eastAsia="標楷體"/>
      <w:kern w:val="2"/>
      <w:sz w:val="32"/>
    </w:rPr>
  </w:style>
  <w:style w:type="paragraph" w:styleId="aff2">
    <w:name w:val="annotation subject"/>
    <w:basedOn w:val="aff0"/>
    <w:next w:val="aff0"/>
    <w:link w:val="aff3"/>
    <w:uiPriority w:val="99"/>
    <w:semiHidden/>
    <w:unhideWhenUsed/>
    <w:rsid w:val="00D97EAF"/>
    <w:rPr>
      <w:b/>
      <w:bCs/>
    </w:rPr>
  </w:style>
  <w:style w:type="character" w:customStyle="1" w:styleId="aff3">
    <w:name w:val="註解主旨 字元"/>
    <w:basedOn w:val="aff1"/>
    <w:link w:val="aff2"/>
    <w:uiPriority w:val="99"/>
    <w:semiHidden/>
    <w:rsid w:val="00D97EAF"/>
    <w:rPr>
      <w:rFonts w:ascii="標楷體" w:eastAsia="標楷體"/>
      <w:b/>
      <w:bCs/>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25213"/>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025A21"/>
    <w:pPr>
      <w:snapToGrid w:val="0"/>
      <w:jc w:val="left"/>
    </w:pPr>
    <w:rPr>
      <w:sz w:val="20"/>
    </w:rPr>
  </w:style>
  <w:style w:type="character" w:customStyle="1" w:styleId="afb">
    <w:name w:val="註腳文字 字元"/>
    <w:basedOn w:val="a7"/>
    <w:link w:val="afa"/>
    <w:uiPriority w:val="99"/>
    <w:semiHidden/>
    <w:rsid w:val="00025A21"/>
    <w:rPr>
      <w:rFonts w:ascii="標楷體" w:eastAsia="標楷體"/>
      <w:kern w:val="2"/>
    </w:rPr>
  </w:style>
  <w:style w:type="character" w:styleId="afc">
    <w:name w:val="footnote reference"/>
    <w:basedOn w:val="a7"/>
    <w:uiPriority w:val="99"/>
    <w:semiHidden/>
    <w:unhideWhenUsed/>
    <w:rsid w:val="00025A21"/>
    <w:rPr>
      <w:vertAlign w:val="superscript"/>
    </w:rPr>
  </w:style>
  <w:style w:type="paragraph" w:styleId="HTML">
    <w:name w:val="HTML Preformatted"/>
    <w:basedOn w:val="a6"/>
    <w:link w:val="HTML0"/>
    <w:uiPriority w:val="99"/>
    <w:unhideWhenUsed/>
    <w:rsid w:val="00795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795AD7"/>
    <w:rPr>
      <w:rFonts w:ascii="細明體" w:eastAsia="細明體" w:hAnsi="細明體" w:cs="細明體"/>
      <w:sz w:val="24"/>
      <w:szCs w:val="24"/>
    </w:rPr>
  </w:style>
  <w:style w:type="character" w:customStyle="1" w:styleId="40">
    <w:name w:val="標題 4 字元"/>
    <w:basedOn w:val="a7"/>
    <w:link w:val="4"/>
    <w:rsid w:val="00F80521"/>
    <w:rPr>
      <w:rFonts w:ascii="標楷體" w:eastAsia="標楷體" w:hAnsi="Arial"/>
      <w:kern w:val="32"/>
      <w:sz w:val="32"/>
      <w:szCs w:val="36"/>
    </w:rPr>
  </w:style>
  <w:style w:type="character" w:customStyle="1" w:styleId="50">
    <w:name w:val="標題 5 字元"/>
    <w:basedOn w:val="a7"/>
    <w:link w:val="5"/>
    <w:rsid w:val="006961CE"/>
    <w:rPr>
      <w:rFonts w:ascii="標楷體" w:eastAsia="標楷體" w:hAnsi="Arial"/>
      <w:bCs/>
      <w:kern w:val="32"/>
      <w:sz w:val="32"/>
      <w:szCs w:val="36"/>
    </w:rPr>
  </w:style>
  <w:style w:type="character" w:customStyle="1" w:styleId="10">
    <w:name w:val="標題 1 字元"/>
    <w:basedOn w:val="a7"/>
    <w:link w:val="1"/>
    <w:rsid w:val="00F07FF2"/>
    <w:rPr>
      <w:rFonts w:ascii="標楷體" w:eastAsia="標楷體" w:hAnsi="Arial"/>
      <w:bCs/>
      <w:kern w:val="32"/>
      <w:sz w:val="32"/>
      <w:szCs w:val="52"/>
    </w:rPr>
  </w:style>
  <w:style w:type="paragraph" w:customStyle="1" w:styleId="smartcontent">
    <w:name w:val="smartcontent"/>
    <w:basedOn w:val="a6"/>
    <w:rsid w:val="001036A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6E7EB5"/>
    <w:rPr>
      <w:rFonts w:ascii="標楷體" w:eastAsia="標楷體" w:hAnsi="Arial"/>
      <w:bCs/>
      <w:kern w:val="32"/>
      <w:sz w:val="32"/>
      <w:szCs w:val="36"/>
    </w:rPr>
  </w:style>
  <w:style w:type="paragraph" w:customStyle="1" w:styleId="afd">
    <w:name w:val="表下註"/>
    <w:basedOn w:val="a6"/>
    <w:link w:val="afe"/>
    <w:qFormat/>
    <w:rsid w:val="00B943E5"/>
    <w:pPr>
      <w:spacing w:line="240" w:lineRule="exact"/>
    </w:pPr>
    <w:rPr>
      <w:sz w:val="20"/>
    </w:rPr>
  </w:style>
  <w:style w:type="paragraph" w:customStyle="1" w:styleId="Default">
    <w:name w:val="Default"/>
    <w:rsid w:val="00B943E5"/>
    <w:pPr>
      <w:widowControl w:val="0"/>
      <w:autoSpaceDE w:val="0"/>
      <w:autoSpaceDN w:val="0"/>
      <w:adjustRightInd w:val="0"/>
    </w:pPr>
    <w:rPr>
      <w:rFonts w:eastAsiaTheme="minorEastAsia"/>
      <w:color w:val="000000"/>
      <w:sz w:val="24"/>
      <w:szCs w:val="24"/>
    </w:rPr>
  </w:style>
  <w:style w:type="character" w:customStyle="1" w:styleId="afe">
    <w:name w:val="表下註 字元"/>
    <w:basedOn w:val="a7"/>
    <w:link w:val="afd"/>
    <w:rsid w:val="00B943E5"/>
    <w:rPr>
      <w:rFonts w:ascii="標楷體" w:eastAsia="標楷體"/>
      <w:kern w:val="2"/>
    </w:rPr>
  </w:style>
  <w:style w:type="character" w:customStyle="1" w:styleId="20">
    <w:name w:val="標題 2 字元"/>
    <w:basedOn w:val="a7"/>
    <w:link w:val="2"/>
    <w:rsid w:val="005A3F0E"/>
    <w:rPr>
      <w:rFonts w:ascii="標楷體" w:eastAsia="標楷體" w:hAnsi="Arial"/>
      <w:bCs/>
      <w:kern w:val="32"/>
      <w:sz w:val="32"/>
      <w:szCs w:val="48"/>
    </w:rPr>
  </w:style>
  <w:style w:type="character" w:styleId="aff">
    <w:name w:val="annotation reference"/>
    <w:basedOn w:val="a7"/>
    <w:uiPriority w:val="99"/>
    <w:semiHidden/>
    <w:unhideWhenUsed/>
    <w:rsid w:val="00D97EAF"/>
    <w:rPr>
      <w:sz w:val="18"/>
      <w:szCs w:val="18"/>
    </w:rPr>
  </w:style>
  <w:style w:type="paragraph" w:styleId="aff0">
    <w:name w:val="annotation text"/>
    <w:basedOn w:val="a6"/>
    <w:link w:val="aff1"/>
    <w:uiPriority w:val="99"/>
    <w:semiHidden/>
    <w:unhideWhenUsed/>
    <w:rsid w:val="00D97EAF"/>
    <w:pPr>
      <w:jc w:val="left"/>
    </w:pPr>
  </w:style>
  <w:style w:type="character" w:customStyle="1" w:styleId="aff1">
    <w:name w:val="註解文字 字元"/>
    <w:basedOn w:val="a7"/>
    <w:link w:val="aff0"/>
    <w:uiPriority w:val="99"/>
    <w:semiHidden/>
    <w:rsid w:val="00D97EAF"/>
    <w:rPr>
      <w:rFonts w:ascii="標楷體" w:eastAsia="標楷體"/>
      <w:kern w:val="2"/>
      <w:sz w:val="32"/>
    </w:rPr>
  </w:style>
  <w:style w:type="paragraph" w:styleId="aff2">
    <w:name w:val="annotation subject"/>
    <w:basedOn w:val="aff0"/>
    <w:next w:val="aff0"/>
    <w:link w:val="aff3"/>
    <w:uiPriority w:val="99"/>
    <w:semiHidden/>
    <w:unhideWhenUsed/>
    <w:rsid w:val="00D97EAF"/>
    <w:rPr>
      <w:b/>
      <w:bCs/>
    </w:rPr>
  </w:style>
  <w:style w:type="character" w:customStyle="1" w:styleId="aff3">
    <w:name w:val="註解主旨 字元"/>
    <w:basedOn w:val="aff1"/>
    <w:link w:val="aff2"/>
    <w:uiPriority w:val="99"/>
    <w:semiHidden/>
    <w:rsid w:val="00D97EAF"/>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31524">
      <w:bodyDiv w:val="1"/>
      <w:marLeft w:val="0"/>
      <w:marRight w:val="0"/>
      <w:marTop w:val="0"/>
      <w:marBottom w:val="0"/>
      <w:divBdr>
        <w:top w:val="none" w:sz="0" w:space="0" w:color="auto"/>
        <w:left w:val="none" w:sz="0" w:space="0" w:color="auto"/>
        <w:bottom w:val="none" w:sz="0" w:space="0" w:color="auto"/>
        <w:right w:val="none" w:sz="0" w:space="0" w:color="auto"/>
      </w:divBdr>
    </w:div>
    <w:div w:id="305747713">
      <w:bodyDiv w:val="1"/>
      <w:marLeft w:val="0"/>
      <w:marRight w:val="0"/>
      <w:marTop w:val="0"/>
      <w:marBottom w:val="0"/>
      <w:divBdr>
        <w:top w:val="none" w:sz="0" w:space="0" w:color="auto"/>
        <w:left w:val="none" w:sz="0" w:space="0" w:color="auto"/>
        <w:bottom w:val="none" w:sz="0" w:space="0" w:color="auto"/>
        <w:right w:val="none" w:sz="0" w:space="0" w:color="auto"/>
      </w:divBdr>
      <w:divsChild>
        <w:div w:id="90517954">
          <w:marLeft w:val="0"/>
          <w:marRight w:val="0"/>
          <w:marTop w:val="0"/>
          <w:marBottom w:val="0"/>
          <w:divBdr>
            <w:top w:val="none" w:sz="0" w:space="0" w:color="auto"/>
            <w:left w:val="none" w:sz="0" w:space="0" w:color="auto"/>
            <w:bottom w:val="none" w:sz="0" w:space="0" w:color="auto"/>
            <w:right w:val="none" w:sz="0" w:space="0" w:color="auto"/>
          </w:divBdr>
        </w:div>
      </w:divsChild>
    </w:div>
    <w:div w:id="375390940">
      <w:bodyDiv w:val="1"/>
      <w:marLeft w:val="0"/>
      <w:marRight w:val="0"/>
      <w:marTop w:val="0"/>
      <w:marBottom w:val="0"/>
      <w:divBdr>
        <w:top w:val="none" w:sz="0" w:space="0" w:color="auto"/>
        <w:left w:val="none" w:sz="0" w:space="0" w:color="auto"/>
        <w:bottom w:val="none" w:sz="0" w:space="0" w:color="auto"/>
        <w:right w:val="none" w:sz="0" w:space="0" w:color="auto"/>
      </w:divBdr>
    </w:div>
    <w:div w:id="582449295">
      <w:bodyDiv w:val="1"/>
      <w:marLeft w:val="0"/>
      <w:marRight w:val="0"/>
      <w:marTop w:val="0"/>
      <w:marBottom w:val="0"/>
      <w:divBdr>
        <w:top w:val="none" w:sz="0" w:space="0" w:color="auto"/>
        <w:left w:val="none" w:sz="0" w:space="0" w:color="auto"/>
        <w:bottom w:val="none" w:sz="0" w:space="0" w:color="auto"/>
        <w:right w:val="none" w:sz="0" w:space="0" w:color="auto"/>
      </w:divBdr>
    </w:div>
    <w:div w:id="616063850">
      <w:bodyDiv w:val="1"/>
      <w:marLeft w:val="0"/>
      <w:marRight w:val="0"/>
      <w:marTop w:val="0"/>
      <w:marBottom w:val="0"/>
      <w:divBdr>
        <w:top w:val="none" w:sz="0" w:space="0" w:color="auto"/>
        <w:left w:val="none" w:sz="0" w:space="0" w:color="auto"/>
        <w:bottom w:val="none" w:sz="0" w:space="0" w:color="auto"/>
        <w:right w:val="none" w:sz="0" w:space="0" w:color="auto"/>
      </w:divBdr>
    </w:div>
    <w:div w:id="669794892">
      <w:bodyDiv w:val="1"/>
      <w:marLeft w:val="0"/>
      <w:marRight w:val="0"/>
      <w:marTop w:val="0"/>
      <w:marBottom w:val="0"/>
      <w:divBdr>
        <w:top w:val="none" w:sz="0" w:space="0" w:color="auto"/>
        <w:left w:val="none" w:sz="0" w:space="0" w:color="auto"/>
        <w:bottom w:val="none" w:sz="0" w:space="0" w:color="auto"/>
        <w:right w:val="none" w:sz="0" w:space="0" w:color="auto"/>
      </w:divBdr>
    </w:div>
    <w:div w:id="809178901">
      <w:bodyDiv w:val="1"/>
      <w:marLeft w:val="0"/>
      <w:marRight w:val="0"/>
      <w:marTop w:val="0"/>
      <w:marBottom w:val="0"/>
      <w:divBdr>
        <w:top w:val="none" w:sz="0" w:space="0" w:color="auto"/>
        <w:left w:val="none" w:sz="0" w:space="0" w:color="auto"/>
        <w:bottom w:val="none" w:sz="0" w:space="0" w:color="auto"/>
        <w:right w:val="none" w:sz="0" w:space="0" w:color="auto"/>
      </w:divBdr>
      <w:divsChild>
        <w:div w:id="1399279291">
          <w:marLeft w:val="0"/>
          <w:marRight w:val="0"/>
          <w:marTop w:val="0"/>
          <w:marBottom w:val="0"/>
          <w:divBdr>
            <w:top w:val="none" w:sz="0" w:space="0" w:color="auto"/>
            <w:left w:val="none" w:sz="0" w:space="0" w:color="auto"/>
            <w:bottom w:val="none" w:sz="0" w:space="0" w:color="auto"/>
            <w:right w:val="none" w:sz="0" w:space="0" w:color="auto"/>
          </w:divBdr>
        </w:div>
      </w:divsChild>
    </w:div>
    <w:div w:id="925312268">
      <w:bodyDiv w:val="1"/>
      <w:marLeft w:val="0"/>
      <w:marRight w:val="0"/>
      <w:marTop w:val="0"/>
      <w:marBottom w:val="0"/>
      <w:divBdr>
        <w:top w:val="none" w:sz="0" w:space="0" w:color="auto"/>
        <w:left w:val="none" w:sz="0" w:space="0" w:color="auto"/>
        <w:bottom w:val="none" w:sz="0" w:space="0" w:color="auto"/>
        <w:right w:val="none" w:sz="0" w:space="0" w:color="auto"/>
      </w:divBdr>
    </w:div>
    <w:div w:id="960771442">
      <w:bodyDiv w:val="1"/>
      <w:marLeft w:val="0"/>
      <w:marRight w:val="0"/>
      <w:marTop w:val="0"/>
      <w:marBottom w:val="0"/>
      <w:divBdr>
        <w:top w:val="none" w:sz="0" w:space="0" w:color="auto"/>
        <w:left w:val="none" w:sz="0" w:space="0" w:color="auto"/>
        <w:bottom w:val="none" w:sz="0" w:space="0" w:color="auto"/>
        <w:right w:val="none" w:sz="0" w:space="0" w:color="auto"/>
      </w:divBdr>
    </w:div>
    <w:div w:id="1006134655">
      <w:bodyDiv w:val="1"/>
      <w:marLeft w:val="0"/>
      <w:marRight w:val="0"/>
      <w:marTop w:val="0"/>
      <w:marBottom w:val="0"/>
      <w:divBdr>
        <w:top w:val="none" w:sz="0" w:space="0" w:color="auto"/>
        <w:left w:val="none" w:sz="0" w:space="0" w:color="auto"/>
        <w:bottom w:val="none" w:sz="0" w:space="0" w:color="auto"/>
        <w:right w:val="none" w:sz="0" w:space="0" w:color="auto"/>
      </w:divBdr>
    </w:div>
    <w:div w:id="1098404836">
      <w:bodyDiv w:val="1"/>
      <w:marLeft w:val="0"/>
      <w:marRight w:val="0"/>
      <w:marTop w:val="0"/>
      <w:marBottom w:val="0"/>
      <w:divBdr>
        <w:top w:val="none" w:sz="0" w:space="0" w:color="auto"/>
        <w:left w:val="none" w:sz="0" w:space="0" w:color="auto"/>
        <w:bottom w:val="none" w:sz="0" w:space="0" w:color="auto"/>
        <w:right w:val="none" w:sz="0" w:space="0" w:color="auto"/>
      </w:divBdr>
    </w:div>
    <w:div w:id="1164128458">
      <w:bodyDiv w:val="1"/>
      <w:marLeft w:val="0"/>
      <w:marRight w:val="0"/>
      <w:marTop w:val="0"/>
      <w:marBottom w:val="0"/>
      <w:divBdr>
        <w:top w:val="none" w:sz="0" w:space="0" w:color="auto"/>
        <w:left w:val="none" w:sz="0" w:space="0" w:color="auto"/>
        <w:bottom w:val="none" w:sz="0" w:space="0" w:color="auto"/>
        <w:right w:val="none" w:sz="0" w:space="0" w:color="auto"/>
      </w:divBdr>
    </w:div>
    <w:div w:id="1171095408">
      <w:bodyDiv w:val="1"/>
      <w:marLeft w:val="0"/>
      <w:marRight w:val="0"/>
      <w:marTop w:val="0"/>
      <w:marBottom w:val="0"/>
      <w:divBdr>
        <w:top w:val="none" w:sz="0" w:space="0" w:color="auto"/>
        <w:left w:val="none" w:sz="0" w:space="0" w:color="auto"/>
        <w:bottom w:val="none" w:sz="0" w:space="0" w:color="auto"/>
        <w:right w:val="none" w:sz="0" w:space="0" w:color="auto"/>
      </w:divBdr>
    </w:div>
    <w:div w:id="1467896638">
      <w:bodyDiv w:val="1"/>
      <w:marLeft w:val="0"/>
      <w:marRight w:val="0"/>
      <w:marTop w:val="0"/>
      <w:marBottom w:val="0"/>
      <w:divBdr>
        <w:top w:val="none" w:sz="0" w:space="0" w:color="auto"/>
        <w:left w:val="none" w:sz="0" w:space="0" w:color="auto"/>
        <w:bottom w:val="none" w:sz="0" w:space="0" w:color="auto"/>
        <w:right w:val="none" w:sz="0" w:space="0" w:color="auto"/>
      </w:divBdr>
    </w:div>
    <w:div w:id="1594242818">
      <w:bodyDiv w:val="1"/>
      <w:marLeft w:val="0"/>
      <w:marRight w:val="0"/>
      <w:marTop w:val="0"/>
      <w:marBottom w:val="0"/>
      <w:divBdr>
        <w:top w:val="none" w:sz="0" w:space="0" w:color="auto"/>
        <w:left w:val="none" w:sz="0" w:space="0" w:color="auto"/>
        <w:bottom w:val="none" w:sz="0" w:space="0" w:color="auto"/>
        <w:right w:val="none" w:sz="0" w:space="0" w:color="auto"/>
      </w:divBdr>
    </w:div>
    <w:div w:id="1600678598">
      <w:bodyDiv w:val="1"/>
      <w:marLeft w:val="0"/>
      <w:marRight w:val="0"/>
      <w:marTop w:val="0"/>
      <w:marBottom w:val="0"/>
      <w:divBdr>
        <w:top w:val="none" w:sz="0" w:space="0" w:color="auto"/>
        <w:left w:val="none" w:sz="0" w:space="0" w:color="auto"/>
        <w:bottom w:val="none" w:sz="0" w:space="0" w:color="auto"/>
        <w:right w:val="none" w:sz="0" w:space="0" w:color="auto"/>
      </w:divBdr>
    </w:div>
    <w:div w:id="1779832669">
      <w:bodyDiv w:val="1"/>
      <w:marLeft w:val="0"/>
      <w:marRight w:val="0"/>
      <w:marTop w:val="0"/>
      <w:marBottom w:val="0"/>
      <w:divBdr>
        <w:top w:val="none" w:sz="0" w:space="0" w:color="auto"/>
        <w:left w:val="none" w:sz="0" w:space="0" w:color="auto"/>
        <w:bottom w:val="none" w:sz="0" w:space="0" w:color="auto"/>
        <w:right w:val="none" w:sz="0" w:space="0" w:color="auto"/>
      </w:divBdr>
    </w:div>
    <w:div w:id="1787237106">
      <w:bodyDiv w:val="1"/>
      <w:marLeft w:val="0"/>
      <w:marRight w:val="0"/>
      <w:marTop w:val="0"/>
      <w:marBottom w:val="0"/>
      <w:divBdr>
        <w:top w:val="none" w:sz="0" w:space="0" w:color="auto"/>
        <w:left w:val="none" w:sz="0" w:space="0" w:color="auto"/>
        <w:bottom w:val="none" w:sz="0" w:space="0" w:color="auto"/>
        <w:right w:val="none" w:sz="0" w:space="0" w:color="auto"/>
      </w:divBdr>
    </w:div>
    <w:div w:id="2016178029">
      <w:bodyDiv w:val="1"/>
      <w:marLeft w:val="0"/>
      <w:marRight w:val="0"/>
      <w:marTop w:val="0"/>
      <w:marBottom w:val="0"/>
      <w:divBdr>
        <w:top w:val="none" w:sz="0" w:space="0" w:color="auto"/>
        <w:left w:val="none" w:sz="0" w:space="0" w:color="auto"/>
        <w:bottom w:val="none" w:sz="0" w:space="0" w:color="auto"/>
        <w:right w:val="none" w:sz="0" w:space="0" w:color="auto"/>
      </w:divBdr>
    </w:div>
    <w:div w:id="20173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facebook.com/story.php?story_fbid=238349086669061&amp;id=189751931528777&#65292;&#19978;&#32178;&#28687;&#35261;&#26085;&#26399;&#65306;1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h\AppData\Roaming\Microsoft\Templates\&#27243;&#24335;&#35519;&#26597;&#34920;&#21934;\C030&#35519;&#26597;&#22577;&#21578;&#26684;&#24335;&#39636;&#20363;(&#27243;&#24335;).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FB4826-F19C-476C-B79A-9E770BF7E1D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zh-TW" altLang="en-US"/>
        </a:p>
      </dgm:t>
    </dgm:pt>
    <dgm:pt modelId="{10672741-EA3E-43F9-92E7-5D086471A01D}">
      <dgm:prSet phldrT="[文字]"/>
      <dgm:spPr/>
      <dgm:t>
        <a:bodyPr/>
        <a:lstStyle/>
        <a:p>
          <a:r>
            <a:rPr lang="zh-TW" altLang="en-US"/>
            <a:t>初犯或</a:t>
          </a:r>
          <a:r>
            <a:rPr lang="en-US" altLang="zh-TW"/>
            <a:t>5</a:t>
          </a:r>
          <a:r>
            <a:rPr lang="zh-TW" altLang="en-US"/>
            <a:t>年後再犯</a:t>
          </a:r>
        </a:p>
      </dgm:t>
    </dgm:pt>
    <dgm:pt modelId="{45842C04-0A27-4B90-AC78-FD8A13B938C3}" type="parTrans" cxnId="{6E56265B-E55E-4B74-A09D-632AC329B584}">
      <dgm:prSet/>
      <dgm:spPr/>
      <dgm:t>
        <a:bodyPr/>
        <a:lstStyle/>
        <a:p>
          <a:endParaRPr lang="zh-TW" altLang="en-US"/>
        </a:p>
      </dgm:t>
    </dgm:pt>
    <dgm:pt modelId="{0B53CB53-487E-4AE7-A3FF-05DD8DDA6D36}" type="sibTrans" cxnId="{6E56265B-E55E-4B74-A09D-632AC329B584}">
      <dgm:prSet/>
      <dgm:spPr/>
      <dgm:t>
        <a:bodyPr/>
        <a:lstStyle/>
        <a:p>
          <a:endParaRPr lang="zh-TW" altLang="en-US"/>
        </a:p>
      </dgm:t>
    </dgm:pt>
    <dgm:pt modelId="{62361170-C762-4FB8-99D0-A0D07A718E05}">
      <dgm:prSet phldrT="[文字]"/>
      <dgm:spPr/>
      <dgm:t>
        <a:bodyPr/>
        <a:lstStyle/>
        <a:p>
          <a:r>
            <a:rPr lang="zh-TW" altLang="en-US"/>
            <a:t>觀察勒戒</a:t>
          </a:r>
        </a:p>
      </dgm:t>
    </dgm:pt>
    <dgm:pt modelId="{0129140B-9966-4EC9-A99C-CF52A0C403DF}" type="parTrans" cxnId="{9FF92413-87EE-4AE1-A7A8-6FFEB22E0D74}">
      <dgm:prSet/>
      <dgm:spPr/>
      <dgm:t>
        <a:bodyPr/>
        <a:lstStyle/>
        <a:p>
          <a:endParaRPr lang="zh-TW" altLang="en-US"/>
        </a:p>
      </dgm:t>
    </dgm:pt>
    <dgm:pt modelId="{A12D92CB-D2A5-427D-93A8-0B8031F44852}" type="sibTrans" cxnId="{9FF92413-87EE-4AE1-A7A8-6FFEB22E0D74}">
      <dgm:prSet/>
      <dgm:spPr/>
      <dgm:t>
        <a:bodyPr/>
        <a:lstStyle/>
        <a:p>
          <a:endParaRPr lang="zh-TW" altLang="en-US"/>
        </a:p>
      </dgm:t>
    </dgm:pt>
    <dgm:pt modelId="{52E25A65-CD12-4767-A8E7-C028D6C6CA7E}">
      <dgm:prSet phldrT="[文字]"/>
      <dgm:spPr/>
      <dgm:t>
        <a:bodyPr/>
        <a:lstStyle/>
        <a:p>
          <a:r>
            <a:rPr lang="zh-TW" altLang="en-US"/>
            <a:t>強制戒治</a:t>
          </a:r>
        </a:p>
      </dgm:t>
    </dgm:pt>
    <dgm:pt modelId="{21F65630-26DC-4C9E-B94D-2BB573A55A9D}" type="parTrans" cxnId="{FA46E469-43DB-4762-8E59-AC699582D869}">
      <dgm:prSet/>
      <dgm:spPr/>
      <dgm:t>
        <a:bodyPr/>
        <a:lstStyle/>
        <a:p>
          <a:endParaRPr lang="zh-TW" altLang="en-US"/>
        </a:p>
      </dgm:t>
    </dgm:pt>
    <dgm:pt modelId="{49B0B46C-ECA1-4D85-AE18-7AE613D1A7C1}" type="sibTrans" cxnId="{FA46E469-43DB-4762-8E59-AC699582D869}">
      <dgm:prSet/>
      <dgm:spPr/>
      <dgm:t>
        <a:bodyPr/>
        <a:lstStyle/>
        <a:p>
          <a:endParaRPr lang="zh-TW" altLang="en-US"/>
        </a:p>
      </dgm:t>
    </dgm:pt>
    <dgm:pt modelId="{6C0793C1-5973-49FD-90AA-2EA5618D9944}">
      <dgm:prSet phldrT="[文字]"/>
      <dgm:spPr/>
      <dgm:t>
        <a:bodyPr/>
        <a:lstStyle/>
        <a:p>
          <a:r>
            <a:rPr lang="zh-TW" altLang="en-US"/>
            <a:t>緩起訴戒癮治療</a:t>
          </a:r>
        </a:p>
      </dgm:t>
    </dgm:pt>
    <dgm:pt modelId="{DD86239E-E4B5-4AB5-8397-7718295E2D3C}" type="parTrans" cxnId="{78EA8FBB-2E5C-4939-AD89-9B9B15FADD72}">
      <dgm:prSet/>
      <dgm:spPr/>
      <dgm:t>
        <a:bodyPr/>
        <a:lstStyle/>
        <a:p>
          <a:endParaRPr lang="zh-TW" altLang="en-US"/>
        </a:p>
      </dgm:t>
    </dgm:pt>
    <dgm:pt modelId="{11A74937-6253-4918-8A83-0D350343DEE6}" type="sibTrans" cxnId="{78EA8FBB-2E5C-4939-AD89-9B9B15FADD72}">
      <dgm:prSet/>
      <dgm:spPr/>
      <dgm:t>
        <a:bodyPr/>
        <a:lstStyle/>
        <a:p>
          <a:endParaRPr lang="zh-TW" altLang="en-US"/>
        </a:p>
      </dgm:t>
    </dgm:pt>
    <dgm:pt modelId="{0364EA9C-CB9F-4768-B127-5F27B12288F8}" type="pres">
      <dgm:prSet presAssocID="{32FB4826-F19C-476C-B79A-9E770BF7E1DF}" presName="diagram" presStyleCnt="0">
        <dgm:presLayoutVars>
          <dgm:chPref val="1"/>
          <dgm:dir/>
          <dgm:animOne val="branch"/>
          <dgm:animLvl val="lvl"/>
          <dgm:resizeHandles val="exact"/>
        </dgm:presLayoutVars>
      </dgm:prSet>
      <dgm:spPr/>
      <dgm:t>
        <a:bodyPr/>
        <a:lstStyle/>
        <a:p>
          <a:endParaRPr lang="zh-TW" altLang="en-US"/>
        </a:p>
      </dgm:t>
    </dgm:pt>
    <dgm:pt modelId="{50276267-B493-4D96-98B1-1073ED9C8172}" type="pres">
      <dgm:prSet presAssocID="{10672741-EA3E-43F9-92E7-5D086471A01D}" presName="root1" presStyleCnt="0"/>
      <dgm:spPr/>
    </dgm:pt>
    <dgm:pt modelId="{AFF6BD59-F3E9-41ED-86CE-B1A74CADDC12}" type="pres">
      <dgm:prSet presAssocID="{10672741-EA3E-43F9-92E7-5D086471A01D}" presName="LevelOneTextNode" presStyleLbl="node0" presStyleIdx="0" presStyleCnt="1">
        <dgm:presLayoutVars>
          <dgm:chPref val="3"/>
        </dgm:presLayoutVars>
      </dgm:prSet>
      <dgm:spPr/>
      <dgm:t>
        <a:bodyPr/>
        <a:lstStyle/>
        <a:p>
          <a:endParaRPr lang="zh-TW" altLang="en-US"/>
        </a:p>
      </dgm:t>
    </dgm:pt>
    <dgm:pt modelId="{29A8ADCF-2A23-4B67-B61B-E15B6A1FC692}" type="pres">
      <dgm:prSet presAssocID="{10672741-EA3E-43F9-92E7-5D086471A01D}" presName="level2hierChild" presStyleCnt="0"/>
      <dgm:spPr/>
    </dgm:pt>
    <dgm:pt modelId="{4D9921D8-CB45-443F-A23B-E2EBD1A3C7B1}" type="pres">
      <dgm:prSet presAssocID="{0129140B-9966-4EC9-A99C-CF52A0C403DF}" presName="conn2-1" presStyleLbl="parChTrans1D2" presStyleIdx="0" presStyleCnt="2"/>
      <dgm:spPr/>
      <dgm:t>
        <a:bodyPr/>
        <a:lstStyle/>
        <a:p>
          <a:endParaRPr lang="zh-TW" altLang="en-US"/>
        </a:p>
      </dgm:t>
    </dgm:pt>
    <dgm:pt modelId="{4576B57D-0F36-4F2C-B840-F0B18FB4E239}" type="pres">
      <dgm:prSet presAssocID="{0129140B-9966-4EC9-A99C-CF52A0C403DF}" presName="connTx" presStyleLbl="parChTrans1D2" presStyleIdx="0" presStyleCnt="2"/>
      <dgm:spPr/>
      <dgm:t>
        <a:bodyPr/>
        <a:lstStyle/>
        <a:p>
          <a:endParaRPr lang="zh-TW" altLang="en-US"/>
        </a:p>
      </dgm:t>
    </dgm:pt>
    <dgm:pt modelId="{5CFB1882-7D4E-4111-A2B2-07AE0C528C0E}" type="pres">
      <dgm:prSet presAssocID="{62361170-C762-4FB8-99D0-A0D07A718E05}" presName="root2" presStyleCnt="0"/>
      <dgm:spPr/>
    </dgm:pt>
    <dgm:pt modelId="{D555D6AA-D57E-4C54-968E-EBD8FECB4F25}" type="pres">
      <dgm:prSet presAssocID="{62361170-C762-4FB8-99D0-A0D07A718E05}" presName="LevelTwoTextNode" presStyleLbl="node2" presStyleIdx="0" presStyleCnt="2">
        <dgm:presLayoutVars>
          <dgm:chPref val="3"/>
        </dgm:presLayoutVars>
      </dgm:prSet>
      <dgm:spPr/>
      <dgm:t>
        <a:bodyPr/>
        <a:lstStyle/>
        <a:p>
          <a:endParaRPr lang="zh-TW" altLang="en-US"/>
        </a:p>
      </dgm:t>
    </dgm:pt>
    <dgm:pt modelId="{B37F97C4-DBFC-497F-B67A-2030B2CAE3E5}" type="pres">
      <dgm:prSet presAssocID="{62361170-C762-4FB8-99D0-A0D07A718E05}" presName="level3hierChild" presStyleCnt="0"/>
      <dgm:spPr/>
    </dgm:pt>
    <dgm:pt modelId="{C5B15050-29BB-49B2-8DD1-B32237BCD355}" type="pres">
      <dgm:prSet presAssocID="{21F65630-26DC-4C9E-B94D-2BB573A55A9D}" presName="conn2-1" presStyleLbl="parChTrans1D3" presStyleIdx="0" presStyleCnt="1"/>
      <dgm:spPr/>
      <dgm:t>
        <a:bodyPr/>
        <a:lstStyle/>
        <a:p>
          <a:endParaRPr lang="zh-TW" altLang="en-US"/>
        </a:p>
      </dgm:t>
    </dgm:pt>
    <dgm:pt modelId="{B45FD493-CFD1-4FB5-869A-6713B07C0025}" type="pres">
      <dgm:prSet presAssocID="{21F65630-26DC-4C9E-B94D-2BB573A55A9D}" presName="connTx" presStyleLbl="parChTrans1D3" presStyleIdx="0" presStyleCnt="1"/>
      <dgm:spPr/>
      <dgm:t>
        <a:bodyPr/>
        <a:lstStyle/>
        <a:p>
          <a:endParaRPr lang="zh-TW" altLang="en-US"/>
        </a:p>
      </dgm:t>
    </dgm:pt>
    <dgm:pt modelId="{26831EC1-8F88-4D18-971F-52BD37B28DA0}" type="pres">
      <dgm:prSet presAssocID="{52E25A65-CD12-4767-A8E7-C028D6C6CA7E}" presName="root2" presStyleCnt="0"/>
      <dgm:spPr/>
    </dgm:pt>
    <dgm:pt modelId="{7790C8C0-710B-4EE4-896C-02E116A51066}" type="pres">
      <dgm:prSet presAssocID="{52E25A65-CD12-4767-A8E7-C028D6C6CA7E}" presName="LevelTwoTextNode" presStyleLbl="node3" presStyleIdx="0" presStyleCnt="1">
        <dgm:presLayoutVars>
          <dgm:chPref val="3"/>
        </dgm:presLayoutVars>
      </dgm:prSet>
      <dgm:spPr/>
      <dgm:t>
        <a:bodyPr/>
        <a:lstStyle/>
        <a:p>
          <a:endParaRPr lang="zh-TW" altLang="en-US"/>
        </a:p>
      </dgm:t>
    </dgm:pt>
    <dgm:pt modelId="{02D197CD-0A85-4075-818F-A1D7BF128ED4}" type="pres">
      <dgm:prSet presAssocID="{52E25A65-CD12-4767-A8E7-C028D6C6CA7E}" presName="level3hierChild" presStyleCnt="0"/>
      <dgm:spPr/>
    </dgm:pt>
    <dgm:pt modelId="{E15F546F-0C29-4DC8-83DE-3C2277D0DC13}" type="pres">
      <dgm:prSet presAssocID="{DD86239E-E4B5-4AB5-8397-7718295E2D3C}" presName="conn2-1" presStyleLbl="parChTrans1D2" presStyleIdx="1" presStyleCnt="2"/>
      <dgm:spPr/>
      <dgm:t>
        <a:bodyPr/>
        <a:lstStyle/>
        <a:p>
          <a:endParaRPr lang="zh-TW" altLang="en-US"/>
        </a:p>
      </dgm:t>
    </dgm:pt>
    <dgm:pt modelId="{1F562F6A-BFBC-4E92-B997-B2F19BBD412D}" type="pres">
      <dgm:prSet presAssocID="{DD86239E-E4B5-4AB5-8397-7718295E2D3C}" presName="connTx" presStyleLbl="parChTrans1D2" presStyleIdx="1" presStyleCnt="2"/>
      <dgm:spPr/>
      <dgm:t>
        <a:bodyPr/>
        <a:lstStyle/>
        <a:p>
          <a:endParaRPr lang="zh-TW" altLang="en-US"/>
        </a:p>
      </dgm:t>
    </dgm:pt>
    <dgm:pt modelId="{11134B1F-4D7B-4A9A-AE01-2DF5B36CE3DF}" type="pres">
      <dgm:prSet presAssocID="{6C0793C1-5973-49FD-90AA-2EA5618D9944}" presName="root2" presStyleCnt="0"/>
      <dgm:spPr/>
    </dgm:pt>
    <dgm:pt modelId="{CBDA564F-DCC3-403A-B836-968842B1EB10}" type="pres">
      <dgm:prSet presAssocID="{6C0793C1-5973-49FD-90AA-2EA5618D9944}" presName="LevelTwoTextNode" presStyleLbl="node2" presStyleIdx="1" presStyleCnt="2">
        <dgm:presLayoutVars>
          <dgm:chPref val="3"/>
        </dgm:presLayoutVars>
      </dgm:prSet>
      <dgm:spPr/>
      <dgm:t>
        <a:bodyPr/>
        <a:lstStyle/>
        <a:p>
          <a:endParaRPr lang="zh-TW" altLang="en-US"/>
        </a:p>
      </dgm:t>
    </dgm:pt>
    <dgm:pt modelId="{F14162A7-A671-4B7B-B468-791D05A36BC8}" type="pres">
      <dgm:prSet presAssocID="{6C0793C1-5973-49FD-90AA-2EA5618D9944}" presName="level3hierChild" presStyleCnt="0"/>
      <dgm:spPr/>
    </dgm:pt>
  </dgm:ptLst>
  <dgm:cxnLst>
    <dgm:cxn modelId="{6954DB56-0449-4B50-A932-DE498A753A27}" type="presOf" srcId="{0129140B-9966-4EC9-A99C-CF52A0C403DF}" destId="{4D9921D8-CB45-443F-A23B-E2EBD1A3C7B1}" srcOrd="0" destOrd="0" presId="urn:microsoft.com/office/officeart/2005/8/layout/hierarchy2"/>
    <dgm:cxn modelId="{78EA8FBB-2E5C-4939-AD89-9B9B15FADD72}" srcId="{10672741-EA3E-43F9-92E7-5D086471A01D}" destId="{6C0793C1-5973-49FD-90AA-2EA5618D9944}" srcOrd="1" destOrd="0" parTransId="{DD86239E-E4B5-4AB5-8397-7718295E2D3C}" sibTransId="{11A74937-6253-4918-8A83-0D350343DEE6}"/>
    <dgm:cxn modelId="{F32B8B55-7388-4583-970C-57F92528DD62}" type="presOf" srcId="{21F65630-26DC-4C9E-B94D-2BB573A55A9D}" destId="{B45FD493-CFD1-4FB5-869A-6713B07C0025}" srcOrd="1" destOrd="0" presId="urn:microsoft.com/office/officeart/2005/8/layout/hierarchy2"/>
    <dgm:cxn modelId="{5E72AF3A-8AEF-419A-8FD2-E7EE1244493B}" type="presOf" srcId="{DD86239E-E4B5-4AB5-8397-7718295E2D3C}" destId="{E15F546F-0C29-4DC8-83DE-3C2277D0DC13}" srcOrd="0" destOrd="0" presId="urn:microsoft.com/office/officeart/2005/8/layout/hierarchy2"/>
    <dgm:cxn modelId="{9FF92413-87EE-4AE1-A7A8-6FFEB22E0D74}" srcId="{10672741-EA3E-43F9-92E7-5D086471A01D}" destId="{62361170-C762-4FB8-99D0-A0D07A718E05}" srcOrd="0" destOrd="0" parTransId="{0129140B-9966-4EC9-A99C-CF52A0C403DF}" sibTransId="{A12D92CB-D2A5-427D-93A8-0B8031F44852}"/>
    <dgm:cxn modelId="{8F4EF133-8CFF-445E-9B8E-B6655F1FAC4B}" type="presOf" srcId="{62361170-C762-4FB8-99D0-A0D07A718E05}" destId="{D555D6AA-D57E-4C54-968E-EBD8FECB4F25}" srcOrd="0" destOrd="0" presId="urn:microsoft.com/office/officeart/2005/8/layout/hierarchy2"/>
    <dgm:cxn modelId="{13E82D73-35EB-49E8-B7E3-CC69AB276B4D}" type="presOf" srcId="{21F65630-26DC-4C9E-B94D-2BB573A55A9D}" destId="{C5B15050-29BB-49B2-8DD1-B32237BCD355}" srcOrd="0" destOrd="0" presId="urn:microsoft.com/office/officeart/2005/8/layout/hierarchy2"/>
    <dgm:cxn modelId="{93CD96FE-F58A-484B-81C8-D826B61A5401}" type="presOf" srcId="{DD86239E-E4B5-4AB5-8397-7718295E2D3C}" destId="{1F562F6A-BFBC-4E92-B997-B2F19BBD412D}" srcOrd="1" destOrd="0" presId="urn:microsoft.com/office/officeart/2005/8/layout/hierarchy2"/>
    <dgm:cxn modelId="{543A5CB7-4F74-4246-8785-FA645A2C637A}" type="presOf" srcId="{0129140B-9966-4EC9-A99C-CF52A0C403DF}" destId="{4576B57D-0F36-4F2C-B840-F0B18FB4E239}" srcOrd="1" destOrd="0" presId="urn:microsoft.com/office/officeart/2005/8/layout/hierarchy2"/>
    <dgm:cxn modelId="{4B278003-B8B4-41C3-A764-40A98ADA8738}" type="presOf" srcId="{32FB4826-F19C-476C-B79A-9E770BF7E1DF}" destId="{0364EA9C-CB9F-4768-B127-5F27B12288F8}" srcOrd="0" destOrd="0" presId="urn:microsoft.com/office/officeart/2005/8/layout/hierarchy2"/>
    <dgm:cxn modelId="{FA46E469-43DB-4762-8E59-AC699582D869}" srcId="{62361170-C762-4FB8-99D0-A0D07A718E05}" destId="{52E25A65-CD12-4767-A8E7-C028D6C6CA7E}" srcOrd="0" destOrd="0" parTransId="{21F65630-26DC-4C9E-B94D-2BB573A55A9D}" sibTransId="{49B0B46C-ECA1-4D85-AE18-7AE613D1A7C1}"/>
    <dgm:cxn modelId="{6E56265B-E55E-4B74-A09D-632AC329B584}" srcId="{32FB4826-F19C-476C-B79A-9E770BF7E1DF}" destId="{10672741-EA3E-43F9-92E7-5D086471A01D}" srcOrd="0" destOrd="0" parTransId="{45842C04-0A27-4B90-AC78-FD8A13B938C3}" sibTransId="{0B53CB53-487E-4AE7-A3FF-05DD8DDA6D36}"/>
    <dgm:cxn modelId="{AF3447FE-D7A8-4762-BA86-20B78AD34A6F}" type="presOf" srcId="{6C0793C1-5973-49FD-90AA-2EA5618D9944}" destId="{CBDA564F-DCC3-403A-B836-968842B1EB10}" srcOrd="0" destOrd="0" presId="urn:microsoft.com/office/officeart/2005/8/layout/hierarchy2"/>
    <dgm:cxn modelId="{4CF717B5-68AC-41F3-9364-E63CB81721DA}" type="presOf" srcId="{10672741-EA3E-43F9-92E7-5D086471A01D}" destId="{AFF6BD59-F3E9-41ED-86CE-B1A74CADDC12}" srcOrd="0" destOrd="0" presId="urn:microsoft.com/office/officeart/2005/8/layout/hierarchy2"/>
    <dgm:cxn modelId="{EAEDE8E2-46A2-45F0-B346-B8A06EF13FB1}" type="presOf" srcId="{52E25A65-CD12-4767-A8E7-C028D6C6CA7E}" destId="{7790C8C0-710B-4EE4-896C-02E116A51066}" srcOrd="0" destOrd="0" presId="urn:microsoft.com/office/officeart/2005/8/layout/hierarchy2"/>
    <dgm:cxn modelId="{983F4481-B1B7-4F56-A94B-0A4C0ADEFC9D}" type="presParOf" srcId="{0364EA9C-CB9F-4768-B127-5F27B12288F8}" destId="{50276267-B493-4D96-98B1-1073ED9C8172}" srcOrd="0" destOrd="0" presId="urn:microsoft.com/office/officeart/2005/8/layout/hierarchy2"/>
    <dgm:cxn modelId="{19940283-E79B-44C2-875C-208BDD90ABD1}" type="presParOf" srcId="{50276267-B493-4D96-98B1-1073ED9C8172}" destId="{AFF6BD59-F3E9-41ED-86CE-B1A74CADDC12}" srcOrd="0" destOrd="0" presId="urn:microsoft.com/office/officeart/2005/8/layout/hierarchy2"/>
    <dgm:cxn modelId="{DFF9ED23-250C-4FAF-9917-A3FCCA35E9DD}" type="presParOf" srcId="{50276267-B493-4D96-98B1-1073ED9C8172}" destId="{29A8ADCF-2A23-4B67-B61B-E15B6A1FC692}" srcOrd="1" destOrd="0" presId="urn:microsoft.com/office/officeart/2005/8/layout/hierarchy2"/>
    <dgm:cxn modelId="{9D730748-706C-41E3-909B-53B50FACFF05}" type="presParOf" srcId="{29A8ADCF-2A23-4B67-B61B-E15B6A1FC692}" destId="{4D9921D8-CB45-443F-A23B-E2EBD1A3C7B1}" srcOrd="0" destOrd="0" presId="urn:microsoft.com/office/officeart/2005/8/layout/hierarchy2"/>
    <dgm:cxn modelId="{2AE44F89-FC67-4EBE-9B09-017B4D765270}" type="presParOf" srcId="{4D9921D8-CB45-443F-A23B-E2EBD1A3C7B1}" destId="{4576B57D-0F36-4F2C-B840-F0B18FB4E239}" srcOrd="0" destOrd="0" presId="urn:microsoft.com/office/officeart/2005/8/layout/hierarchy2"/>
    <dgm:cxn modelId="{684FB0AE-CAD8-43BC-9A74-91BAE638D8A1}" type="presParOf" srcId="{29A8ADCF-2A23-4B67-B61B-E15B6A1FC692}" destId="{5CFB1882-7D4E-4111-A2B2-07AE0C528C0E}" srcOrd="1" destOrd="0" presId="urn:microsoft.com/office/officeart/2005/8/layout/hierarchy2"/>
    <dgm:cxn modelId="{42F9C377-1114-406B-85DB-3D5395CA50D3}" type="presParOf" srcId="{5CFB1882-7D4E-4111-A2B2-07AE0C528C0E}" destId="{D555D6AA-D57E-4C54-968E-EBD8FECB4F25}" srcOrd="0" destOrd="0" presId="urn:microsoft.com/office/officeart/2005/8/layout/hierarchy2"/>
    <dgm:cxn modelId="{C985F055-66D9-4398-9700-13BD8BD7CAF8}" type="presParOf" srcId="{5CFB1882-7D4E-4111-A2B2-07AE0C528C0E}" destId="{B37F97C4-DBFC-497F-B67A-2030B2CAE3E5}" srcOrd="1" destOrd="0" presId="urn:microsoft.com/office/officeart/2005/8/layout/hierarchy2"/>
    <dgm:cxn modelId="{70BFBD80-EAE1-4F13-BCA3-FCDBE2984E5C}" type="presParOf" srcId="{B37F97C4-DBFC-497F-B67A-2030B2CAE3E5}" destId="{C5B15050-29BB-49B2-8DD1-B32237BCD355}" srcOrd="0" destOrd="0" presId="urn:microsoft.com/office/officeart/2005/8/layout/hierarchy2"/>
    <dgm:cxn modelId="{08A6780A-C8EB-434B-989B-981706E67B21}" type="presParOf" srcId="{C5B15050-29BB-49B2-8DD1-B32237BCD355}" destId="{B45FD493-CFD1-4FB5-869A-6713B07C0025}" srcOrd="0" destOrd="0" presId="urn:microsoft.com/office/officeart/2005/8/layout/hierarchy2"/>
    <dgm:cxn modelId="{896BDD51-E0C1-4B59-BA6F-E95621C3D600}" type="presParOf" srcId="{B37F97C4-DBFC-497F-B67A-2030B2CAE3E5}" destId="{26831EC1-8F88-4D18-971F-52BD37B28DA0}" srcOrd="1" destOrd="0" presId="urn:microsoft.com/office/officeart/2005/8/layout/hierarchy2"/>
    <dgm:cxn modelId="{E8FAC0F0-4A97-440F-8A39-82D8186A145F}" type="presParOf" srcId="{26831EC1-8F88-4D18-971F-52BD37B28DA0}" destId="{7790C8C0-710B-4EE4-896C-02E116A51066}" srcOrd="0" destOrd="0" presId="urn:microsoft.com/office/officeart/2005/8/layout/hierarchy2"/>
    <dgm:cxn modelId="{65A1645C-7718-41BA-A53C-B44C7C31CC05}" type="presParOf" srcId="{26831EC1-8F88-4D18-971F-52BD37B28DA0}" destId="{02D197CD-0A85-4075-818F-A1D7BF128ED4}" srcOrd="1" destOrd="0" presId="urn:microsoft.com/office/officeart/2005/8/layout/hierarchy2"/>
    <dgm:cxn modelId="{295270CF-195A-4175-B85B-715D6E22F2C2}" type="presParOf" srcId="{29A8ADCF-2A23-4B67-B61B-E15B6A1FC692}" destId="{E15F546F-0C29-4DC8-83DE-3C2277D0DC13}" srcOrd="2" destOrd="0" presId="urn:microsoft.com/office/officeart/2005/8/layout/hierarchy2"/>
    <dgm:cxn modelId="{28EC2803-DE14-4993-A35A-B94ED5BB3B40}" type="presParOf" srcId="{E15F546F-0C29-4DC8-83DE-3C2277D0DC13}" destId="{1F562F6A-BFBC-4E92-B997-B2F19BBD412D}" srcOrd="0" destOrd="0" presId="urn:microsoft.com/office/officeart/2005/8/layout/hierarchy2"/>
    <dgm:cxn modelId="{2C32FD10-8C1D-4E20-BED0-AF5CEB798DAC}" type="presParOf" srcId="{29A8ADCF-2A23-4B67-B61B-E15B6A1FC692}" destId="{11134B1F-4D7B-4A9A-AE01-2DF5B36CE3DF}" srcOrd="3" destOrd="0" presId="urn:microsoft.com/office/officeart/2005/8/layout/hierarchy2"/>
    <dgm:cxn modelId="{42CC95E2-09AC-45ED-BE67-80E14C4B6FFF}" type="presParOf" srcId="{11134B1F-4D7B-4A9A-AE01-2DF5B36CE3DF}" destId="{CBDA564F-DCC3-403A-B836-968842B1EB10}" srcOrd="0" destOrd="0" presId="urn:microsoft.com/office/officeart/2005/8/layout/hierarchy2"/>
    <dgm:cxn modelId="{3E75A316-A1C8-4A7F-9132-034730106C18}" type="presParOf" srcId="{11134B1F-4D7B-4A9A-AE01-2DF5B36CE3DF}" destId="{F14162A7-A671-4B7B-B468-791D05A36BC8}"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31EDFF-A974-4EB3-8700-F18B63FF3E0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zh-TW" altLang="en-US"/>
        </a:p>
      </dgm:t>
    </dgm:pt>
    <dgm:pt modelId="{95D269E9-C798-4AE4-A9A7-E336352B2979}">
      <dgm:prSet phldrT="[文字]"/>
      <dgm:spPr/>
      <dgm:t>
        <a:bodyPr/>
        <a:lstStyle/>
        <a:p>
          <a:r>
            <a:rPr lang="en-US" altLang="zh-TW"/>
            <a:t>5</a:t>
          </a:r>
          <a:r>
            <a:rPr lang="zh-TW" altLang="en-US"/>
            <a:t>年內再犯</a:t>
          </a:r>
        </a:p>
      </dgm:t>
    </dgm:pt>
    <dgm:pt modelId="{BD79ADB0-84C7-4183-B677-A3375593C3DF}" type="parTrans" cxnId="{7EB57C35-70D1-4EB5-8096-C7E1061ABDDB}">
      <dgm:prSet/>
      <dgm:spPr/>
      <dgm:t>
        <a:bodyPr/>
        <a:lstStyle/>
        <a:p>
          <a:endParaRPr lang="zh-TW" altLang="en-US"/>
        </a:p>
      </dgm:t>
    </dgm:pt>
    <dgm:pt modelId="{5D5E2B3A-D030-451E-B0F8-1BFA8EAE0C41}" type="sibTrans" cxnId="{7EB57C35-70D1-4EB5-8096-C7E1061ABDDB}">
      <dgm:prSet/>
      <dgm:spPr/>
      <dgm:t>
        <a:bodyPr/>
        <a:lstStyle/>
        <a:p>
          <a:endParaRPr lang="zh-TW" altLang="en-US"/>
        </a:p>
      </dgm:t>
    </dgm:pt>
    <dgm:pt modelId="{901852A0-3418-4048-9741-ADF33762ABEE}">
      <dgm:prSet phldrT="[文字]"/>
      <dgm:spPr/>
      <dgm:t>
        <a:bodyPr/>
        <a:lstStyle/>
        <a:p>
          <a:r>
            <a:rPr lang="zh-TW" altLang="en-US"/>
            <a:t>起訴</a:t>
          </a:r>
        </a:p>
      </dgm:t>
    </dgm:pt>
    <dgm:pt modelId="{4B946B8E-ACA4-4B43-9D00-35F1AD1C2401}" type="parTrans" cxnId="{6FC7B6CF-E7A1-4F94-92A0-B507349CBA38}">
      <dgm:prSet/>
      <dgm:spPr/>
      <dgm:t>
        <a:bodyPr/>
        <a:lstStyle/>
        <a:p>
          <a:endParaRPr lang="zh-TW" altLang="en-US"/>
        </a:p>
      </dgm:t>
    </dgm:pt>
    <dgm:pt modelId="{119A4B77-13C5-4C74-AD47-2FC437BF86E5}" type="sibTrans" cxnId="{6FC7B6CF-E7A1-4F94-92A0-B507349CBA38}">
      <dgm:prSet/>
      <dgm:spPr/>
      <dgm:t>
        <a:bodyPr/>
        <a:lstStyle/>
        <a:p>
          <a:endParaRPr lang="zh-TW" altLang="en-US"/>
        </a:p>
      </dgm:t>
    </dgm:pt>
    <dgm:pt modelId="{0B8AAB6C-BEB7-4100-B21D-36982483284C}">
      <dgm:prSet phldrT="[文字]"/>
      <dgm:spPr/>
      <dgm:t>
        <a:bodyPr/>
        <a:lstStyle/>
        <a:p>
          <a:r>
            <a:rPr lang="zh-TW" altLang="en-US"/>
            <a:t>處徒刑監禁</a:t>
          </a:r>
        </a:p>
      </dgm:t>
    </dgm:pt>
    <dgm:pt modelId="{BC81E082-2F41-4E2A-9084-92D19DDBC748}" type="parTrans" cxnId="{C5131E86-18D4-4745-BB0E-9B147839E14B}">
      <dgm:prSet/>
      <dgm:spPr/>
      <dgm:t>
        <a:bodyPr/>
        <a:lstStyle/>
        <a:p>
          <a:endParaRPr lang="zh-TW" altLang="en-US"/>
        </a:p>
      </dgm:t>
    </dgm:pt>
    <dgm:pt modelId="{16AE52DC-B0C3-4FEA-AF18-B6B9F74B1334}" type="sibTrans" cxnId="{C5131E86-18D4-4745-BB0E-9B147839E14B}">
      <dgm:prSet/>
      <dgm:spPr/>
      <dgm:t>
        <a:bodyPr/>
        <a:lstStyle/>
        <a:p>
          <a:endParaRPr lang="zh-TW" altLang="en-US"/>
        </a:p>
      </dgm:t>
    </dgm:pt>
    <dgm:pt modelId="{2A64D224-E972-4E61-8133-5CA640BC2D26}">
      <dgm:prSet phldrT="[文字]"/>
      <dgm:spPr/>
      <dgm:t>
        <a:bodyPr/>
        <a:lstStyle/>
        <a:p>
          <a:r>
            <a:rPr lang="zh-TW" altLang="en-US"/>
            <a:t>易刑處分</a:t>
          </a:r>
        </a:p>
      </dgm:t>
    </dgm:pt>
    <dgm:pt modelId="{BD16068A-085C-4843-AAB7-88DD3FFB41CE}" type="parTrans" cxnId="{38657973-B52A-4514-8588-7AEE7CFD640E}">
      <dgm:prSet/>
      <dgm:spPr/>
      <dgm:t>
        <a:bodyPr/>
        <a:lstStyle/>
        <a:p>
          <a:endParaRPr lang="zh-TW" altLang="en-US"/>
        </a:p>
      </dgm:t>
    </dgm:pt>
    <dgm:pt modelId="{2E386CEA-325B-4A85-967F-EB62B9974DBD}" type="sibTrans" cxnId="{38657973-B52A-4514-8588-7AEE7CFD640E}">
      <dgm:prSet/>
      <dgm:spPr/>
      <dgm:t>
        <a:bodyPr/>
        <a:lstStyle/>
        <a:p>
          <a:endParaRPr lang="zh-TW" altLang="en-US"/>
        </a:p>
      </dgm:t>
    </dgm:pt>
    <dgm:pt modelId="{EEE18E02-202E-40D6-845F-9F3F70E677EC}">
      <dgm:prSet phldrT="[文字]"/>
      <dgm:spPr/>
      <dgm:t>
        <a:bodyPr/>
        <a:lstStyle/>
        <a:p>
          <a:r>
            <a:rPr lang="zh-TW" altLang="en-US" b="1"/>
            <a:t>緩起訴戒癮治療</a:t>
          </a:r>
        </a:p>
      </dgm:t>
    </dgm:pt>
    <dgm:pt modelId="{4570D3AD-B26C-4D9D-9BF2-6085DD314A22}" type="parTrans" cxnId="{210F141A-F630-4B82-B6E7-2F4D9277C354}">
      <dgm:prSet/>
      <dgm:spPr/>
      <dgm:t>
        <a:bodyPr/>
        <a:lstStyle/>
        <a:p>
          <a:endParaRPr lang="zh-TW" altLang="en-US"/>
        </a:p>
      </dgm:t>
    </dgm:pt>
    <dgm:pt modelId="{9D1DB8DA-98E5-449B-96D0-CE8971EE9B5A}" type="sibTrans" cxnId="{210F141A-F630-4B82-B6E7-2F4D9277C354}">
      <dgm:prSet/>
      <dgm:spPr/>
      <dgm:t>
        <a:bodyPr/>
        <a:lstStyle/>
        <a:p>
          <a:endParaRPr lang="zh-TW" altLang="en-US"/>
        </a:p>
      </dgm:t>
    </dgm:pt>
    <dgm:pt modelId="{C893CFF3-FF8F-4B99-81C3-9FCFB3698268}">
      <dgm:prSet/>
      <dgm:spPr/>
      <dgm:t>
        <a:bodyPr/>
        <a:lstStyle/>
        <a:p>
          <a:r>
            <a:rPr lang="zh-TW" altLang="en-US"/>
            <a:t>緩刑附戒癮治療</a:t>
          </a:r>
        </a:p>
      </dgm:t>
    </dgm:pt>
    <dgm:pt modelId="{3A0F46B7-436C-49A4-8966-13DFDD23DBB1}" type="parTrans" cxnId="{2EADD8FD-28EC-4BFB-A3BA-75DAC292B041}">
      <dgm:prSet/>
      <dgm:spPr/>
      <dgm:t>
        <a:bodyPr/>
        <a:lstStyle/>
        <a:p>
          <a:endParaRPr lang="zh-TW" altLang="en-US"/>
        </a:p>
      </dgm:t>
    </dgm:pt>
    <dgm:pt modelId="{8D8EA090-E23B-4066-8FE7-936C27DDFE49}" type="sibTrans" cxnId="{2EADD8FD-28EC-4BFB-A3BA-75DAC292B041}">
      <dgm:prSet/>
      <dgm:spPr/>
      <dgm:t>
        <a:bodyPr/>
        <a:lstStyle/>
        <a:p>
          <a:endParaRPr lang="zh-TW" altLang="en-US"/>
        </a:p>
      </dgm:t>
    </dgm:pt>
    <dgm:pt modelId="{86F97A79-9BE7-41C7-B250-4B4AB21B042A}" type="pres">
      <dgm:prSet presAssocID="{7331EDFF-A974-4EB3-8700-F18B63FF3E05}" presName="diagram" presStyleCnt="0">
        <dgm:presLayoutVars>
          <dgm:chPref val="1"/>
          <dgm:dir/>
          <dgm:animOne val="branch"/>
          <dgm:animLvl val="lvl"/>
          <dgm:resizeHandles val="exact"/>
        </dgm:presLayoutVars>
      </dgm:prSet>
      <dgm:spPr/>
      <dgm:t>
        <a:bodyPr/>
        <a:lstStyle/>
        <a:p>
          <a:endParaRPr lang="zh-TW" altLang="en-US"/>
        </a:p>
      </dgm:t>
    </dgm:pt>
    <dgm:pt modelId="{7C9B7575-6A3E-4455-80D2-EA3BAA13B054}" type="pres">
      <dgm:prSet presAssocID="{95D269E9-C798-4AE4-A9A7-E336352B2979}" presName="root1" presStyleCnt="0"/>
      <dgm:spPr/>
    </dgm:pt>
    <dgm:pt modelId="{C19A88AD-5CC5-4A81-B1D0-ED4B7A8F1481}" type="pres">
      <dgm:prSet presAssocID="{95D269E9-C798-4AE4-A9A7-E336352B2979}" presName="LevelOneTextNode" presStyleLbl="node0" presStyleIdx="0" presStyleCnt="1">
        <dgm:presLayoutVars>
          <dgm:chPref val="3"/>
        </dgm:presLayoutVars>
      </dgm:prSet>
      <dgm:spPr/>
      <dgm:t>
        <a:bodyPr/>
        <a:lstStyle/>
        <a:p>
          <a:endParaRPr lang="zh-TW" altLang="en-US"/>
        </a:p>
      </dgm:t>
    </dgm:pt>
    <dgm:pt modelId="{EE61DD3E-BE5F-4B22-957D-E2AD84706E18}" type="pres">
      <dgm:prSet presAssocID="{95D269E9-C798-4AE4-A9A7-E336352B2979}" presName="level2hierChild" presStyleCnt="0"/>
      <dgm:spPr/>
    </dgm:pt>
    <dgm:pt modelId="{C16AB38B-C07E-4616-98E8-7C2A803695C5}" type="pres">
      <dgm:prSet presAssocID="{4B946B8E-ACA4-4B43-9D00-35F1AD1C2401}" presName="conn2-1" presStyleLbl="parChTrans1D2" presStyleIdx="0" presStyleCnt="2"/>
      <dgm:spPr/>
      <dgm:t>
        <a:bodyPr/>
        <a:lstStyle/>
        <a:p>
          <a:endParaRPr lang="zh-TW" altLang="en-US"/>
        </a:p>
      </dgm:t>
    </dgm:pt>
    <dgm:pt modelId="{0EE070AF-1E10-45EA-BE50-061932C45400}" type="pres">
      <dgm:prSet presAssocID="{4B946B8E-ACA4-4B43-9D00-35F1AD1C2401}" presName="connTx" presStyleLbl="parChTrans1D2" presStyleIdx="0" presStyleCnt="2"/>
      <dgm:spPr/>
      <dgm:t>
        <a:bodyPr/>
        <a:lstStyle/>
        <a:p>
          <a:endParaRPr lang="zh-TW" altLang="en-US"/>
        </a:p>
      </dgm:t>
    </dgm:pt>
    <dgm:pt modelId="{69D899F5-7FC3-4DA0-A552-D24E838BC311}" type="pres">
      <dgm:prSet presAssocID="{901852A0-3418-4048-9741-ADF33762ABEE}" presName="root2" presStyleCnt="0"/>
      <dgm:spPr/>
    </dgm:pt>
    <dgm:pt modelId="{8791FF36-3AD5-454C-ABB9-4F8AF2F629CA}" type="pres">
      <dgm:prSet presAssocID="{901852A0-3418-4048-9741-ADF33762ABEE}" presName="LevelTwoTextNode" presStyleLbl="node2" presStyleIdx="0" presStyleCnt="2">
        <dgm:presLayoutVars>
          <dgm:chPref val="3"/>
        </dgm:presLayoutVars>
      </dgm:prSet>
      <dgm:spPr/>
      <dgm:t>
        <a:bodyPr/>
        <a:lstStyle/>
        <a:p>
          <a:endParaRPr lang="zh-TW" altLang="en-US"/>
        </a:p>
      </dgm:t>
    </dgm:pt>
    <dgm:pt modelId="{305270D1-85E3-4A36-B794-2688347BD5BB}" type="pres">
      <dgm:prSet presAssocID="{901852A0-3418-4048-9741-ADF33762ABEE}" presName="level3hierChild" presStyleCnt="0"/>
      <dgm:spPr/>
    </dgm:pt>
    <dgm:pt modelId="{8F109513-08D2-4081-960F-99D43CB20D20}" type="pres">
      <dgm:prSet presAssocID="{BC81E082-2F41-4E2A-9084-92D19DDBC748}" presName="conn2-1" presStyleLbl="parChTrans1D3" presStyleIdx="0" presStyleCnt="3"/>
      <dgm:spPr/>
      <dgm:t>
        <a:bodyPr/>
        <a:lstStyle/>
        <a:p>
          <a:endParaRPr lang="zh-TW" altLang="en-US"/>
        </a:p>
      </dgm:t>
    </dgm:pt>
    <dgm:pt modelId="{E1DADECE-A55A-4B4E-B7FE-8EC66284BB0C}" type="pres">
      <dgm:prSet presAssocID="{BC81E082-2F41-4E2A-9084-92D19DDBC748}" presName="connTx" presStyleLbl="parChTrans1D3" presStyleIdx="0" presStyleCnt="3"/>
      <dgm:spPr/>
      <dgm:t>
        <a:bodyPr/>
        <a:lstStyle/>
        <a:p>
          <a:endParaRPr lang="zh-TW" altLang="en-US"/>
        </a:p>
      </dgm:t>
    </dgm:pt>
    <dgm:pt modelId="{A605D8D6-5131-4893-9E38-47F5C95EE676}" type="pres">
      <dgm:prSet presAssocID="{0B8AAB6C-BEB7-4100-B21D-36982483284C}" presName="root2" presStyleCnt="0"/>
      <dgm:spPr/>
    </dgm:pt>
    <dgm:pt modelId="{302C4395-F794-4C9F-8610-3EEC9B0F1135}" type="pres">
      <dgm:prSet presAssocID="{0B8AAB6C-BEB7-4100-B21D-36982483284C}" presName="LevelTwoTextNode" presStyleLbl="node3" presStyleIdx="0" presStyleCnt="3">
        <dgm:presLayoutVars>
          <dgm:chPref val="3"/>
        </dgm:presLayoutVars>
      </dgm:prSet>
      <dgm:spPr/>
      <dgm:t>
        <a:bodyPr/>
        <a:lstStyle/>
        <a:p>
          <a:endParaRPr lang="zh-TW" altLang="en-US"/>
        </a:p>
      </dgm:t>
    </dgm:pt>
    <dgm:pt modelId="{58586971-ED1D-446C-B571-050E16704D37}" type="pres">
      <dgm:prSet presAssocID="{0B8AAB6C-BEB7-4100-B21D-36982483284C}" presName="level3hierChild" presStyleCnt="0"/>
      <dgm:spPr/>
    </dgm:pt>
    <dgm:pt modelId="{469BB1B8-6869-418A-992B-49F98A4028D9}" type="pres">
      <dgm:prSet presAssocID="{BD16068A-085C-4843-AAB7-88DD3FFB41CE}" presName="conn2-1" presStyleLbl="parChTrans1D3" presStyleIdx="1" presStyleCnt="3"/>
      <dgm:spPr/>
      <dgm:t>
        <a:bodyPr/>
        <a:lstStyle/>
        <a:p>
          <a:endParaRPr lang="zh-TW" altLang="en-US"/>
        </a:p>
      </dgm:t>
    </dgm:pt>
    <dgm:pt modelId="{21026F28-F97E-44B3-B224-BCDD1A9D0832}" type="pres">
      <dgm:prSet presAssocID="{BD16068A-085C-4843-AAB7-88DD3FFB41CE}" presName="connTx" presStyleLbl="parChTrans1D3" presStyleIdx="1" presStyleCnt="3"/>
      <dgm:spPr/>
      <dgm:t>
        <a:bodyPr/>
        <a:lstStyle/>
        <a:p>
          <a:endParaRPr lang="zh-TW" altLang="en-US"/>
        </a:p>
      </dgm:t>
    </dgm:pt>
    <dgm:pt modelId="{E26BB262-7148-4F51-9B34-DE1746EB1DD0}" type="pres">
      <dgm:prSet presAssocID="{2A64D224-E972-4E61-8133-5CA640BC2D26}" presName="root2" presStyleCnt="0"/>
      <dgm:spPr/>
    </dgm:pt>
    <dgm:pt modelId="{992B7268-C34A-4748-ACB1-7531710DC691}" type="pres">
      <dgm:prSet presAssocID="{2A64D224-E972-4E61-8133-5CA640BC2D26}" presName="LevelTwoTextNode" presStyleLbl="node3" presStyleIdx="1" presStyleCnt="3">
        <dgm:presLayoutVars>
          <dgm:chPref val="3"/>
        </dgm:presLayoutVars>
      </dgm:prSet>
      <dgm:spPr/>
      <dgm:t>
        <a:bodyPr/>
        <a:lstStyle/>
        <a:p>
          <a:endParaRPr lang="zh-TW" altLang="en-US"/>
        </a:p>
      </dgm:t>
    </dgm:pt>
    <dgm:pt modelId="{F8453364-B5F6-48B1-B528-6E9F6F74BCFE}" type="pres">
      <dgm:prSet presAssocID="{2A64D224-E972-4E61-8133-5CA640BC2D26}" presName="level3hierChild" presStyleCnt="0"/>
      <dgm:spPr/>
    </dgm:pt>
    <dgm:pt modelId="{F73F6FB8-A0FF-4185-BD76-62A918CBAFDC}" type="pres">
      <dgm:prSet presAssocID="{3A0F46B7-436C-49A4-8966-13DFDD23DBB1}" presName="conn2-1" presStyleLbl="parChTrans1D3" presStyleIdx="2" presStyleCnt="3"/>
      <dgm:spPr/>
      <dgm:t>
        <a:bodyPr/>
        <a:lstStyle/>
        <a:p>
          <a:endParaRPr lang="zh-TW" altLang="en-US"/>
        </a:p>
      </dgm:t>
    </dgm:pt>
    <dgm:pt modelId="{E5ECED22-7AB4-4A31-BD90-88B031497F1E}" type="pres">
      <dgm:prSet presAssocID="{3A0F46B7-436C-49A4-8966-13DFDD23DBB1}" presName="connTx" presStyleLbl="parChTrans1D3" presStyleIdx="2" presStyleCnt="3"/>
      <dgm:spPr/>
      <dgm:t>
        <a:bodyPr/>
        <a:lstStyle/>
        <a:p>
          <a:endParaRPr lang="zh-TW" altLang="en-US"/>
        </a:p>
      </dgm:t>
    </dgm:pt>
    <dgm:pt modelId="{EEC40692-D8A7-4A48-BD58-E99325364C9A}" type="pres">
      <dgm:prSet presAssocID="{C893CFF3-FF8F-4B99-81C3-9FCFB3698268}" presName="root2" presStyleCnt="0"/>
      <dgm:spPr/>
    </dgm:pt>
    <dgm:pt modelId="{C263F78E-A4D7-466B-BE0F-041F40D6B56B}" type="pres">
      <dgm:prSet presAssocID="{C893CFF3-FF8F-4B99-81C3-9FCFB3698268}" presName="LevelTwoTextNode" presStyleLbl="node3" presStyleIdx="2" presStyleCnt="3">
        <dgm:presLayoutVars>
          <dgm:chPref val="3"/>
        </dgm:presLayoutVars>
      </dgm:prSet>
      <dgm:spPr/>
      <dgm:t>
        <a:bodyPr/>
        <a:lstStyle/>
        <a:p>
          <a:endParaRPr lang="zh-TW" altLang="en-US"/>
        </a:p>
      </dgm:t>
    </dgm:pt>
    <dgm:pt modelId="{E5564DAF-D2EE-4EDD-ACD2-12C3046873B8}" type="pres">
      <dgm:prSet presAssocID="{C893CFF3-FF8F-4B99-81C3-9FCFB3698268}" presName="level3hierChild" presStyleCnt="0"/>
      <dgm:spPr/>
    </dgm:pt>
    <dgm:pt modelId="{34B1865F-CA30-4367-B4CB-F64BCD2D2AC5}" type="pres">
      <dgm:prSet presAssocID="{4570D3AD-B26C-4D9D-9BF2-6085DD314A22}" presName="conn2-1" presStyleLbl="parChTrans1D2" presStyleIdx="1" presStyleCnt="2"/>
      <dgm:spPr/>
      <dgm:t>
        <a:bodyPr/>
        <a:lstStyle/>
        <a:p>
          <a:endParaRPr lang="zh-TW" altLang="en-US"/>
        </a:p>
      </dgm:t>
    </dgm:pt>
    <dgm:pt modelId="{727F9B49-A6C2-4058-8067-417735349079}" type="pres">
      <dgm:prSet presAssocID="{4570D3AD-B26C-4D9D-9BF2-6085DD314A22}" presName="connTx" presStyleLbl="parChTrans1D2" presStyleIdx="1" presStyleCnt="2"/>
      <dgm:spPr/>
      <dgm:t>
        <a:bodyPr/>
        <a:lstStyle/>
        <a:p>
          <a:endParaRPr lang="zh-TW" altLang="en-US"/>
        </a:p>
      </dgm:t>
    </dgm:pt>
    <dgm:pt modelId="{845C1428-7F2F-497B-A110-290336FC5F73}" type="pres">
      <dgm:prSet presAssocID="{EEE18E02-202E-40D6-845F-9F3F70E677EC}" presName="root2" presStyleCnt="0"/>
      <dgm:spPr/>
    </dgm:pt>
    <dgm:pt modelId="{3FF3FA1E-C001-4A76-8926-503024EA2315}" type="pres">
      <dgm:prSet presAssocID="{EEE18E02-202E-40D6-845F-9F3F70E677EC}" presName="LevelTwoTextNode" presStyleLbl="node2" presStyleIdx="1" presStyleCnt="2">
        <dgm:presLayoutVars>
          <dgm:chPref val="3"/>
        </dgm:presLayoutVars>
      </dgm:prSet>
      <dgm:spPr/>
      <dgm:t>
        <a:bodyPr/>
        <a:lstStyle/>
        <a:p>
          <a:endParaRPr lang="zh-TW" altLang="en-US"/>
        </a:p>
      </dgm:t>
    </dgm:pt>
    <dgm:pt modelId="{EBED0575-E920-4BE5-B5FC-28BE7B81E60F}" type="pres">
      <dgm:prSet presAssocID="{EEE18E02-202E-40D6-845F-9F3F70E677EC}" presName="level3hierChild" presStyleCnt="0"/>
      <dgm:spPr/>
    </dgm:pt>
  </dgm:ptLst>
  <dgm:cxnLst>
    <dgm:cxn modelId="{177E3ABD-3D8B-4273-9083-698E86F440FF}" type="presOf" srcId="{0B8AAB6C-BEB7-4100-B21D-36982483284C}" destId="{302C4395-F794-4C9F-8610-3EEC9B0F1135}" srcOrd="0" destOrd="0" presId="urn:microsoft.com/office/officeart/2005/8/layout/hierarchy2"/>
    <dgm:cxn modelId="{29FA2BCA-4630-4708-8711-B820CDB22906}" type="presOf" srcId="{95D269E9-C798-4AE4-A9A7-E336352B2979}" destId="{C19A88AD-5CC5-4A81-B1D0-ED4B7A8F1481}" srcOrd="0" destOrd="0" presId="urn:microsoft.com/office/officeart/2005/8/layout/hierarchy2"/>
    <dgm:cxn modelId="{6FC7B6CF-E7A1-4F94-92A0-B507349CBA38}" srcId="{95D269E9-C798-4AE4-A9A7-E336352B2979}" destId="{901852A0-3418-4048-9741-ADF33762ABEE}" srcOrd="0" destOrd="0" parTransId="{4B946B8E-ACA4-4B43-9D00-35F1AD1C2401}" sibTransId="{119A4B77-13C5-4C74-AD47-2FC437BF86E5}"/>
    <dgm:cxn modelId="{00BE68E5-8D53-4C0E-99C0-BA93E8C73C80}" type="presOf" srcId="{C893CFF3-FF8F-4B99-81C3-9FCFB3698268}" destId="{C263F78E-A4D7-466B-BE0F-041F40D6B56B}" srcOrd="0" destOrd="0" presId="urn:microsoft.com/office/officeart/2005/8/layout/hierarchy2"/>
    <dgm:cxn modelId="{38657973-B52A-4514-8588-7AEE7CFD640E}" srcId="{901852A0-3418-4048-9741-ADF33762ABEE}" destId="{2A64D224-E972-4E61-8133-5CA640BC2D26}" srcOrd="1" destOrd="0" parTransId="{BD16068A-085C-4843-AAB7-88DD3FFB41CE}" sibTransId="{2E386CEA-325B-4A85-967F-EB62B9974DBD}"/>
    <dgm:cxn modelId="{B3DAA72E-7D0C-447A-8188-4810E48A482C}" type="presOf" srcId="{4B946B8E-ACA4-4B43-9D00-35F1AD1C2401}" destId="{0EE070AF-1E10-45EA-BE50-061932C45400}" srcOrd="1" destOrd="0" presId="urn:microsoft.com/office/officeart/2005/8/layout/hierarchy2"/>
    <dgm:cxn modelId="{7EB57C35-70D1-4EB5-8096-C7E1061ABDDB}" srcId="{7331EDFF-A974-4EB3-8700-F18B63FF3E05}" destId="{95D269E9-C798-4AE4-A9A7-E336352B2979}" srcOrd="0" destOrd="0" parTransId="{BD79ADB0-84C7-4183-B677-A3375593C3DF}" sibTransId="{5D5E2B3A-D030-451E-B0F8-1BFA8EAE0C41}"/>
    <dgm:cxn modelId="{677D9127-A4DA-46A0-9197-55095E523785}" type="presOf" srcId="{BC81E082-2F41-4E2A-9084-92D19DDBC748}" destId="{8F109513-08D2-4081-960F-99D43CB20D20}" srcOrd="0" destOrd="0" presId="urn:microsoft.com/office/officeart/2005/8/layout/hierarchy2"/>
    <dgm:cxn modelId="{123F6434-BC04-4610-975E-EA2DB853AA63}" type="presOf" srcId="{4570D3AD-B26C-4D9D-9BF2-6085DD314A22}" destId="{34B1865F-CA30-4367-B4CB-F64BCD2D2AC5}" srcOrd="0" destOrd="0" presId="urn:microsoft.com/office/officeart/2005/8/layout/hierarchy2"/>
    <dgm:cxn modelId="{10475747-3CCF-47FB-93E9-8180443E36E0}" type="presOf" srcId="{4B946B8E-ACA4-4B43-9D00-35F1AD1C2401}" destId="{C16AB38B-C07E-4616-98E8-7C2A803695C5}" srcOrd="0" destOrd="0" presId="urn:microsoft.com/office/officeart/2005/8/layout/hierarchy2"/>
    <dgm:cxn modelId="{CA60C4C0-0EBC-493A-8DD6-33C8326675F3}" type="presOf" srcId="{3A0F46B7-436C-49A4-8966-13DFDD23DBB1}" destId="{E5ECED22-7AB4-4A31-BD90-88B031497F1E}" srcOrd="1" destOrd="0" presId="urn:microsoft.com/office/officeart/2005/8/layout/hierarchy2"/>
    <dgm:cxn modelId="{34C716A3-AAC5-480C-90AA-9C22249C9442}" type="presOf" srcId="{3A0F46B7-436C-49A4-8966-13DFDD23DBB1}" destId="{F73F6FB8-A0FF-4185-BD76-62A918CBAFDC}" srcOrd="0" destOrd="0" presId="urn:microsoft.com/office/officeart/2005/8/layout/hierarchy2"/>
    <dgm:cxn modelId="{DD0844DA-9EA5-4B4F-98A0-76B169BC5B9B}" type="presOf" srcId="{BC81E082-2F41-4E2A-9084-92D19DDBC748}" destId="{E1DADECE-A55A-4B4E-B7FE-8EC66284BB0C}" srcOrd="1" destOrd="0" presId="urn:microsoft.com/office/officeart/2005/8/layout/hierarchy2"/>
    <dgm:cxn modelId="{2EADD8FD-28EC-4BFB-A3BA-75DAC292B041}" srcId="{901852A0-3418-4048-9741-ADF33762ABEE}" destId="{C893CFF3-FF8F-4B99-81C3-9FCFB3698268}" srcOrd="2" destOrd="0" parTransId="{3A0F46B7-436C-49A4-8966-13DFDD23DBB1}" sibTransId="{8D8EA090-E23B-4066-8FE7-936C27DDFE49}"/>
    <dgm:cxn modelId="{C68F5E7F-40AE-47B3-9631-5319CB5A8844}" type="presOf" srcId="{BD16068A-085C-4843-AAB7-88DD3FFB41CE}" destId="{21026F28-F97E-44B3-B224-BCDD1A9D0832}" srcOrd="1" destOrd="0" presId="urn:microsoft.com/office/officeart/2005/8/layout/hierarchy2"/>
    <dgm:cxn modelId="{1C1879DD-B7FF-4C2B-B6E2-97B1B68D2BFE}" type="presOf" srcId="{2A64D224-E972-4E61-8133-5CA640BC2D26}" destId="{992B7268-C34A-4748-ACB1-7531710DC691}" srcOrd="0" destOrd="0" presId="urn:microsoft.com/office/officeart/2005/8/layout/hierarchy2"/>
    <dgm:cxn modelId="{7A8C21D8-FFF5-4BC0-9150-CD2043C76624}" type="presOf" srcId="{BD16068A-085C-4843-AAB7-88DD3FFB41CE}" destId="{469BB1B8-6869-418A-992B-49F98A4028D9}" srcOrd="0" destOrd="0" presId="urn:microsoft.com/office/officeart/2005/8/layout/hierarchy2"/>
    <dgm:cxn modelId="{C5131E86-18D4-4745-BB0E-9B147839E14B}" srcId="{901852A0-3418-4048-9741-ADF33762ABEE}" destId="{0B8AAB6C-BEB7-4100-B21D-36982483284C}" srcOrd="0" destOrd="0" parTransId="{BC81E082-2F41-4E2A-9084-92D19DDBC748}" sibTransId="{16AE52DC-B0C3-4FEA-AF18-B6B9F74B1334}"/>
    <dgm:cxn modelId="{210F141A-F630-4B82-B6E7-2F4D9277C354}" srcId="{95D269E9-C798-4AE4-A9A7-E336352B2979}" destId="{EEE18E02-202E-40D6-845F-9F3F70E677EC}" srcOrd="1" destOrd="0" parTransId="{4570D3AD-B26C-4D9D-9BF2-6085DD314A22}" sibTransId="{9D1DB8DA-98E5-449B-96D0-CE8971EE9B5A}"/>
    <dgm:cxn modelId="{7078E652-0F28-410D-A833-31549BCB1D39}" type="presOf" srcId="{4570D3AD-B26C-4D9D-9BF2-6085DD314A22}" destId="{727F9B49-A6C2-4058-8067-417735349079}" srcOrd="1" destOrd="0" presId="urn:microsoft.com/office/officeart/2005/8/layout/hierarchy2"/>
    <dgm:cxn modelId="{38C2C683-1B21-40CD-AE92-E45997578422}" type="presOf" srcId="{7331EDFF-A974-4EB3-8700-F18B63FF3E05}" destId="{86F97A79-9BE7-41C7-B250-4B4AB21B042A}" srcOrd="0" destOrd="0" presId="urn:microsoft.com/office/officeart/2005/8/layout/hierarchy2"/>
    <dgm:cxn modelId="{70ED7B60-137D-4690-8BEF-4350A57CFE95}" type="presOf" srcId="{901852A0-3418-4048-9741-ADF33762ABEE}" destId="{8791FF36-3AD5-454C-ABB9-4F8AF2F629CA}" srcOrd="0" destOrd="0" presId="urn:microsoft.com/office/officeart/2005/8/layout/hierarchy2"/>
    <dgm:cxn modelId="{AC69108D-98CF-4A8C-A54C-B2D5CD3F2FC8}" type="presOf" srcId="{EEE18E02-202E-40D6-845F-9F3F70E677EC}" destId="{3FF3FA1E-C001-4A76-8926-503024EA2315}" srcOrd="0" destOrd="0" presId="urn:microsoft.com/office/officeart/2005/8/layout/hierarchy2"/>
    <dgm:cxn modelId="{1B08E064-EC4F-437B-B68D-6CF51921D7AB}" type="presParOf" srcId="{86F97A79-9BE7-41C7-B250-4B4AB21B042A}" destId="{7C9B7575-6A3E-4455-80D2-EA3BAA13B054}" srcOrd="0" destOrd="0" presId="urn:microsoft.com/office/officeart/2005/8/layout/hierarchy2"/>
    <dgm:cxn modelId="{BD9685A1-023B-4220-8770-20909C4F2E3C}" type="presParOf" srcId="{7C9B7575-6A3E-4455-80D2-EA3BAA13B054}" destId="{C19A88AD-5CC5-4A81-B1D0-ED4B7A8F1481}" srcOrd="0" destOrd="0" presId="urn:microsoft.com/office/officeart/2005/8/layout/hierarchy2"/>
    <dgm:cxn modelId="{DBF6B64C-3B3E-4CFD-AA70-640A43A2C3A3}" type="presParOf" srcId="{7C9B7575-6A3E-4455-80D2-EA3BAA13B054}" destId="{EE61DD3E-BE5F-4B22-957D-E2AD84706E18}" srcOrd="1" destOrd="0" presId="urn:microsoft.com/office/officeart/2005/8/layout/hierarchy2"/>
    <dgm:cxn modelId="{99D7AA01-930C-4B5B-A25F-EE4FA065FCA2}" type="presParOf" srcId="{EE61DD3E-BE5F-4B22-957D-E2AD84706E18}" destId="{C16AB38B-C07E-4616-98E8-7C2A803695C5}" srcOrd="0" destOrd="0" presId="urn:microsoft.com/office/officeart/2005/8/layout/hierarchy2"/>
    <dgm:cxn modelId="{4F3AAE47-E3E7-4BD8-9C0D-403DB10EAFFD}" type="presParOf" srcId="{C16AB38B-C07E-4616-98E8-7C2A803695C5}" destId="{0EE070AF-1E10-45EA-BE50-061932C45400}" srcOrd="0" destOrd="0" presId="urn:microsoft.com/office/officeart/2005/8/layout/hierarchy2"/>
    <dgm:cxn modelId="{067C1BC0-DFF7-42E5-B6BD-442D7153ED93}" type="presParOf" srcId="{EE61DD3E-BE5F-4B22-957D-E2AD84706E18}" destId="{69D899F5-7FC3-4DA0-A552-D24E838BC311}" srcOrd="1" destOrd="0" presId="urn:microsoft.com/office/officeart/2005/8/layout/hierarchy2"/>
    <dgm:cxn modelId="{34323568-06AF-4B94-9D08-EB8253F1AEBC}" type="presParOf" srcId="{69D899F5-7FC3-4DA0-A552-D24E838BC311}" destId="{8791FF36-3AD5-454C-ABB9-4F8AF2F629CA}" srcOrd="0" destOrd="0" presId="urn:microsoft.com/office/officeart/2005/8/layout/hierarchy2"/>
    <dgm:cxn modelId="{1E275F3E-D6A5-42C6-936B-44BC44FC1EAE}" type="presParOf" srcId="{69D899F5-7FC3-4DA0-A552-D24E838BC311}" destId="{305270D1-85E3-4A36-B794-2688347BD5BB}" srcOrd="1" destOrd="0" presId="urn:microsoft.com/office/officeart/2005/8/layout/hierarchy2"/>
    <dgm:cxn modelId="{A880B9F3-2254-44B0-860D-C2B9AEC50D0A}" type="presParOf" srcId="{305270D1-85E3-4A36-B794-2688347BD5BB}" destId="{8F109513-08D2-4081-960F-99D43CB20D20}" srcOrd="0" destOrd="0" presId="urn:microsoft.com/office/officeart/2005/8/layout/hierarchy2"/>
    <dgm:cxn modelId="{DD4D1916-93F1-4D2F-88EB-9178F8619C39}" type="presParOf" srcId="{8F109513-08D2-4081-960F-99D43CB20D20}" destId="{E1DADECE-A55A-4B4E-B7FE-8EC66284BB0C}" srcOrd="0" destOrd="0" presId="urn:microsoft.com/office/officeart/2005/8/layout/hierarchy2"/>
    <dgm:cxn modelId="{6E88C90B-9739-4351-97F9-D280FAEACC18}" type="presParOf" srcId="{305270D1-85E3-4A36-B794-2688347BD5BB}" destId="{A605D8D6-5131-4893-9E38-47F5C95EE676}" srcOrd="1" destOrd="0" presId="urn:microsoft.com/office/officeart/2005/8/layout/hierarchy2"/>
    <dgm:cxn modelId="{C7AB8307-4F60-4693-B9BC-41774AEFE2AB}" type="presParOf" srcId="{A605D8D6-5131-4893-9E38-47F5C95EE676}" destId="{302C4395-F794-4C9F-8610-3EEC9B0F1135}" srcOrd="0" destOrd="0" presId="urn:microsoft.com/office/officeart/2005/8/layout/hierarchy2"/>
    <dgm:cxn modelId="{1B592831-D508-46CA-AE38-5F8B2F30E0C3}" type="presParOf" srcId="{A605D8D6-5131-4893-9E38-47F5C95EE676}" destId="{58586971-ED1D-446C-B571-050E16704D37}" srcOrd="1" destOrd="0" presId="urn:microsoft.com/office/officeart/2005/8/layout/hierarchy2"/>
    <dgm:cxn modelId="{1E592CBB-EC46-4460-AEEF-AA7E4DCAC27A}" type="presParOf" srcId="{305270D1-85E3-4A36-B794-2688347BD5BB}" destId="{469BB1B8-6869-418A-992B-49F98A4028D9}" srcOrd="2" destOrd="0" presId="urn:microsoft.com/office/officeart/2005/8/layout/hierarchy2"/>
    <dgm:cxn modelId="{CC29161C-466B-4413-B4E2-BF2D7BCCB71F}" type="presParOf" srcId="{469BB1B8-6869-418A-992B-49F98A4028D9}" destId="{21026F28-F97E-44B3-B224-BCDD1A9D0832}" srcOrd="0" destOrd="0" presId="urn:microsoft.com/office/officeart/2005/8/layout/hierarchy2"/>
    <dgm:cxn modelId="{87DBF7DE-2E0D-421D-BC5F-D5DC88263B2C}" type="presParOf" srcId="{305270D1-85E3-4A36-B794-2688347BD5BB}" destId="{E26BB262-7148-4F51-9B34-DE1746EB1DD0}" srcOrd="3" destOrd="0" presId="urn:microsoft.com/office/officeart/2005/8/layout/hierarchy2"/>
    <dgm:cxn modelId="{DEC6795D-9BDF-4470-94BF-1CA3C0D73C08}" type="presParOf" srcId="{E26BB262-7148-4F51-9B34-DE1746EB1DD0}" destId="{992B7268-C34A-4748-ACB1-7531710DC691}" srcOrd="0" destOrd="0" presId="urn:microsoft.com/office/officeart/2005/8/layout/hierarchy2"/>
    <dgm:cxn modelId="{AAF1019D-34E0-4E96-BA37-1E20EE36964D}" type="presParOf" srcId="{E26BB262-7148-4F51-9B34-DE1746EB1DD0}" destId="{F8453364-B5F6-48B1-B528-6E9F6F74BCFE}" srcOrd="1" destOrd="0" presId="urn:microsoft.com/office/officeart/2005/8/layout/hierarchy2"/>
    <dgm:cxn modelId="{36437713-30CE-4F9B-A26F-A88E3868C566}" type="presParOf" srcId="{305270D1-85E3-4A36-B794-2688347BD5BB}" destId="{F73F6FB8-A0FF-4185-BD76-62A918CBAFDC}" srcOrd="4" destOrd="0" presId="urn:microsoft.com/office/officeart/2005/8/layout/hierarchy2"/>
    <dgm:cxn modelId="{F3D2ADAF-BB92-410A-B69D-4896DF29CF09}" type="presParOf" srcId="{F73F6FB8-A0FF-4185-BD76-62A918CBAFDC}" destId="{E5ECED22-7AB4-4A31-BD90-88B031497F1E}" srcOrd="0" destOrd="0" presId="urn:microsoft.com/office/officeart/2005/8/layout/hierarchy2"/>
    <dgm:cxn modelId="{44692BB6-E7C3-4711-B419-EC83A09A9EB8}" type="presParOf" srcId="{305270D1-85E3-4A36-B794-2688347BD5BB}" destId="{EEC40692-D8A7-4A48-BD58-E99325364C9A}" srcOrd="5" destOrd="0" presId="urn:microsoft.com/office/officeart/2005/8/layout/hierarchy2"/>
    <dgm:cxn modelId="{AD8C773D-AAA3-4A3D-AB5E-CA9DE7F9FDD0}" type="presParOf" srcId="{EEC40692-D8A7-4A48-BD58-E99325364C9A}" destId="{C263F78E-A4D7-466B-BE0F-041F40D6B56B}" srcOrd="0" destOrd="0" presId="urn:microsoft.com/office/officeart/2005/8/layout/hierarchy2"/>
    <dgm:cxn modelId="{38878521-2ED6-4E14-8941-02155EC9DB84}" type="presParOf" srcId="{EEC40692-D8A7-4A48-BD58-E99325364C9A}" destId="{E5564DAF-D2EE-4EDD-ACD2-12C3046873B8}" srcOrd="1" destOrd="0" presId="urn:microsoft.com/office/officeart/2005/8/layout/hierarchy2"/>
    <dgm:cxn modelId="{7F47AADD-65AD-485E-BE22-EDE5BF46118F}" type="presParOf" srcId="{EE61DD3E-BE5F-4B22-957D-E2AD84706E18}" destId="{34B1865F-CA30-4367-B4CB-F64BCD2D2AC5}" srcOrd="2" destOrd="0" presId="urn:microsoft.com/office/officeart/2005/8/layout/hierarchy2"/>
    <dgm:cxn modelId="{D29A39E9-8BC0-4D9E-85DD-E38BDC86C756}" type="presParOf" srcId="{34B1865F-CA30-4367-B4CB-F64BCD2D2AC5}" destId="{727F9B49-A6C2-4058-8067-417735349079}" srcOrd="0" destOrd="0" presId="urn:microsoft.com/office/officeart/2005/8/layout/hierarchy2"/>
    <dgm:cxn modelId="{F14B74AB-F9CA-44F5-B043-3449D0801591}" type="presParOf" srcId="{EE61DD3E-BE5F-4B22-957D-E2AD84706E18}" destId="{845C1428-7F2F-497B-A110-290336FC5F73}" srcOrd="3" destOrd="0" presId="urn:microsoft.com/office/officeart/2005/8/layout/hierarchy2"/>
    <dgm:cxn modelId="{5CBB017C-EFE8-4960-8242-AE02B3421D56}" type="presParOf" srcId="{845C1428-7F2F-497B-A110-290336FC5F73}" destId="{3FF3FA1E-C001-4A76-8926-503024EA2315}" srcOrd="0" destOrd="0" presId="urn:microsoft.com/office/officeart/2005/8/layout/hierarchy2"/>
    <dgm:cxn modelId="{DA60D3D6-473C-45F1-969E-7E979F01807A}" type="presParOf" srcId="{845C1428-7F2F-497B-A110-290336FC5F73}" destId="{EBED0575-E920-4BE5-B5FC-28BE7B81E60F}"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6BD59-F3E9-41ED-86CE-B1A74CADDC12}">
      <dsp:nvSpPr>
        <dsp:cNvPr id="0" name=""/>
        <dsp:cNvSpPr/>
      </dsp:nvSpPr>
      <dsp:spPr>
        <a:xfrm>
          <a:off x="2107" y="919489"/>
          <a:ext cx="1442680" cy="7213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初犯或</a:t>
          </a:r>
          <a:r>
            <a:rPr lang="en-US" altLang="zh-TW" sz="2100" kern="1200"/>
            <a:t>5</a:t>
          </a:r>
          <a:r>
            <a:rPr lang="zh-TW" altLang="en-US" sz="2100" kern="1200"/>
            <a:t>年後再犯</a:t>
          </a:r>
        </a:p>
      </dsp:txBody>
      <dsp:txXfrm>
        <a:off x="23234" y="940616"/>
        <a:ext cx="1400426" cy="679086"/>
      </dsp:txXfrm>
    </dsp:sp>
    <dsp:sp modelId="{4D9921D8-CB45-443F-A23B-E2EBD1A3C7B1}">
      <dsp:nvSpPr>
        <dsp:cNvPr id="0" name=""/>
        <dsp:cNvSpPr/>
      </dsp:nvSpPr>
      <dsp:spPr>
        <a:xfrm rot="19457599">
          <a:off x="1377990" y="1047418"/>
          <a:ext cx="710666" cy="50712"/>
        </a:xfrm>
        <a:custGeom>
          <a:avLst/>
          <a:gdLst/>
          <a:ahLst/>
          <a:cxnLst/>
          <a:rect l="0" t="0" r="0" b="0"/>
          <a:pathLst>
            <a:path>
              <a:moveTo>
                <a:pt x="0" y="25356"/>
              </a:moveTo>
              <a:lnTo>
                <a:pt x="710666" y="253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15557" y="1055008"/>
        <a:ext cx="35533" cy="35533"/>
      </dsp:txXfrm>
    </dsp:sp>
    <dsp:sp modelId="{D555D6AA-D57E-4C54-968E-EBD8FECB4F25}">
      <dsp:nvSpPr>
        <dsp:cNvPr id="0" name=""/>
        <dsp:cNvSpPr/>
      </dsp:nvSpPr>
      <dsp:spPr>
        <a:xfrm>
          <a:off x="2021859" y="504719"/>
          <a:ext cx="1442680" cy="7213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觀察勒戒</a:t>
          </a:r>
        </a:p>
      </dsp:txBody>
      <dsp:txXfrm>
        <a:off x="2042986" y="525846"/>
        <a:ext cx="1400426" cy="679086"/>
      </dsp:txXfrm>
    </dsp:sp>
    <dsp:sp modelId="{C5B15050-29BB-49B2-8DD1-B32237BCD355}">
      <dsp:nvSpPr>
        <dsp:cNvPr id="0" name=""/>
        <dsp:cNvSpPr/>
      </dsp:nvSpPr>
      <dsp:spPr>
        <a:xfrm>
          <a:off x="3464540" y="840032"/>
          <a:ext cx="577072" cy="50712"/>
        </a:xfrm>
        <a:custGeom>
          <a:avLst/>
          <a:gdLst/>
          <a:ahLst/>
          <a:cxnLst/>
          <a:rect l="0" t="0" r="0" b="0"/>
          <a:pathLst>
            <a:path>
              <a:moveTo>
                <a:pt x="0" y="25356"/>
              </a:moveTo>
              <a:lnTo>
                <a:pt x="577072" y="253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738649" y="850962"/>
        <a:ext cx="28853" cy="28853"/>
      </dsp:txXfrm>
    </dsp:sp>
    <dsp:sp modelId="{7790C8C0-710B-4EE4-896C-02E116A51066}">
      <dsp:nvSpPr>
        <dsp:cNvPr id="0" name=""/>
        <dsp:cNvSpPr/>
      </dsp:nvSpPr>
      <dsp:spPr>
        <a:xfrm>
          <a:off x="4041612" y="504719"/>
          <a:ext cx="1442680" cy="7213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強制戒治</a:t>
          </a:r>
        </a:p>
      </dsp:txBody>
      <dsp:txXfrm>
        <a:off x="4062739" y="525846"/>
        <a:ext cx="1400426" cy="679086"/>
      </dsp:txXfrm>
    </dsp:sp>
    <dsp:sp modelId="{E15F546F-0C29-4DC8-83DE-3C2277D0DC13}">
      <dsp:nvSpPr>
        <dsp:cNvPr id="0" name=""/>
        <dsp:cNvSpPr/>
      </dsp:nvSpPr>
      <dsp:spPr>
        <a:xfrm rot="2142401">
          <a:off x="1377990" y="1462188"/>
          <a:ext cx="710666" cy="50712"/>
        </a:xfrm>
        <a:custGeom>
          <a:avLst/>
          <a:gdLst/>
          <a:ahLst/>
          <a:cxnLst/>
          <a:rect l="0" t="0" r="0" b="0"/>
          <a:pathLst>
            <a:path>
              <a:moveTo>
                <a:pt x="0" y="25356"/>
              </a:moveTo>
              <a:lnTo>
                <a:pt x="710666" y="253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15557" y="1469778"/>
        <a:ext cx="35533" cy="35533"/>
      </dsp:txXfrm>
    </dsp:sp>
    <dsp:sp modelId="{CBDA564F-DCC3-403A-B836-968842B1EB10}">
      <dsp:nvSpPr>
        <dsp:cNvPr id="0" name=""/>
        <dsp:cNvSpPr/>
      </dsp:nvSpPr>
      <dsp:spPr>
        <a:xfrm>
          <a:off x="2021859" y="1334260"/>
          <a:ext cx="1442680" cy="7213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緩起訴戒癮治療</a:t>
          </a:r>
        </a:p>
      </dsp:txBody>
      <dsp:txXfrm>
        <a:off x="2042986" y="1355387"/>
        <a:ext cx="1400426" cy="6790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A88AD-5CC5-4A81-B1D0-ED4B7A8F1481}">
      <dsp:nvSpPr>
        <dsp:cNvPr id="0" name=""/>
        <dsp:cNvSpPr/>
      </dsp:nvSpPr>
      <dsp:spPr>
        <a:xfrm>
          <a:off x="2701" y="1654288"/>
          <a:ext cx="1442367" cy="72118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altLang="zh-TW" sz="2100" kern="1200"/>
            <a:t>5</a:t>
          </a:r>
          <a:r>
            <a:rPr lang="zh-TW" altLang="en-US" sz="2100" kern="1200"/>
            <a:t>年內再犯</a:t>
          </a:r>
        </a:p>
      </dsp:txBody>
      <dsp:txXfrm>
        <a:off x="23824" y="1675411"/>
        <a:ext cx="1400121" cy="678937"/>
      </dsp:txXfrm>
    </dsp:sp>
    <dsp:sp modelId="{C16AB38B-C07E-4616-98E8-7C2A803695C5}">
      <dsp:nvSpPr>
        <dsp:cNvPr id="0" name=""/>
        <dsp:cNvSpPr/>
      </dsp:nvSpPr>
      <dsp:spPr>
        <a:xfrm rot="19457599">
          <a:off x="1378286" y="1787259"/>
          <a:ext cx="710512" cy="40561"/>
        </a:xfrm>
        <a:custGeom>
          <a:avLst/>
          <a:gdLst/>
          <a:ahLst/>
          <a:cxnLst/>
          <a:rect l="0" t="0" r="0" b="0"/>
          <a:pathLst>
            <a:path>
              <a:moveTo>
                <a:pt x="0" y="20280"/>
              </a:moveTo>
              <a:lnTo>
                <a:pt x="710512" y="20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15779" y="1789777"/>
        <a:ext cx="35525" cy="35525"/>
      </dsp:txXfrm>
    </dsp:sp>
    <dsp:sp modelId="{8791FF36-3AD5-454C-ABB9-4F8AF2F629CA}">
      <dsp:nvSpPr>
        <dsp:cNvPr id="0" name=""/>
        <dsp:cNvSpPr/>
      </dsp:nvSpPr>
      <dsp:spPr>
        <a:xfrm>
          <a:off x="2022016" y="1239608"/>
          <a:ext cx="1442367" cy="72118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起訴</a:t>
          </a:r>
        </a:p>
      </dsp:txBody>
      <dsp:txXfrm>
        <a:off x="2043139" y="1260731"/>
        <a:ext cx="1400121" cy="678937"/>
      </dsp:txXfrm>
    </dsp:sp>
    <dsp:sp modelId="{8F109513-08D2-4081-960F-99D43CB20D20}">
      <dsp:nvSpPr>
        <dsp:cNvPr id="0" name=""/>
        <dsp:cNvSpPr/>
      </dsp:nvSpPr>
      <dsp:spPr>
        <a:xfrm rot="18289469">
          <a:off x="3247706" y="1165238"/>
          <a:ext cx="1010301" cy="40561"/>
        </a:xfrm>
        <a:custGeom>
          <a:avLst/>
          <a:gdLst/>
          <a:ahLst/>
          <a:cxnLst/>
          <a:rect l="0" t="0" r="0" b="0"/>
          <a:pathLst>
            <a:path>
              <a:moveTo>
                <a:pt x="0" y="20280"/>
              </a:moveTo>
              <a:lnTo>
                <a:pt x="1010301"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727599" y="1160261"/>
        <a:ext cx="50515" cy="50515"/>
      </dsp:txXfrm>
    </dsp:sp>
    <dsp:sp modelId="{302C4395-F794-4C9F-8610-3EEC9B0F1135}">
      <dsp:nvSpPr>
        <dsp:cNvPr id="0" name=""/>
        <dsp:cNvSpPr/>
      </dsp:nvSpPr>
      <dsp:spPr>
        <a:xfrm>
          <a:off x="4041330" y="410246"/>
          <a:ext cx="1442367" cy="72118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處徒刑監禁</a:t>
          </a:r>
        </a:p>
      </dsp:txBody>
      <dsp:txXfrm>
        <a:off x="4062453" y="431369"/>
        <a:ext cx="1400121" cy="678937"/>
      </dsp:txXfrm>
    </dsp:sp>
    <dsp:sp modelId="{469BB1B8-6869-418A-992B-49F98A4028D9}">
      <dsp:nvSpPr>
        <dsp:cNvPr id="0" name=""/>
        <dsp:cNvSpPr/>
      </dsp:nvSpPr>
      <dsp:spPr>
        <a:xfrm>
          <a:off x="3464383" y="1579919"/>
          <a:ext cx="576947" cy="40561"/>
        </a:xfrm>
        <a:custGeom>
          <a:avLst/>
          <a:gdLst/>
          <a:ahLst/>
          <a:cxnLst/>
          <a:rect l="0" t="0" r="0" b="0"/>
          <a:pathLst>
            <a:path>
              <a:moveTo>
                <a:pt x="0" y="20280"/>
              </a:moveTo>
              <a:lnTo>
                <a:pt x="576947"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738433" y="1585776"/>
        <a:ext cx="28847" cy="28847"/>
      </dsp:txXfrm>
    </dsp:sp>
    <dsp:sp modelId="{992B7268-C34A-4748-ACB1-7531710DC691}">
      <dsp:nvSpPr>
        <dsp:cNvPr id="0" name=""/>
        <dsp:cNvSpPr/>
      </dsp:nvSpPr>
      <dsp:spPr>
        <a:xfrm>
          <a:off x="4041330" y="1239608"/>
          <a:ext cx="1442367" cy="72118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易刑處分</a:t>
          </a:r>
        </a:p>
      </dsp:txBody>
      <dsp:txXfrm>
        <a:off x="4062453" y="1260731"/>
        <a:ext cx="1400121" cy="678937"/>
      </dsp:txXfrm>
    </dsp:sp>
    <dsp:sp modelId="{F73F6FB8-A0FF-4185-BD76-62A918CBAFDC}">
      <dsp:nvSpPr>
        <dsp:cNvPr id="0" name=""/>
        <dsp:cNvSpPr/>
      </dsp:nvSpPr>
      <dsp:spPr>
        <a:xfrm rot="3310531">
          <a:off x="3247706" y="1994599"/>
          <a:ext cx="1010301" cy="40561"/>
        </a:xfrm>
        <a:custGeom>
          <a:avLst/>
          <a:gdLst/>
          <a:ahLst/>
          <a:cxnLst/>
          <a:rect l="0" t="0" r="0" b="0"/>
          <a:pathLst>
            <a:path>
              <a:moveTo>
                <a:pt x="0" y="20280"/>
              </a:moveTo>
              <a:lnTo>
                <a:pt x="1010301" y="202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727599" y="1989623"/>
        <a:ext cx="50515" cy="50515"/>
      </dsp:txXfrm>
    </dsp:sp>
    <dsp:sp modelId="{C263F78E-A4D7-466B-BE0F-041F40D6B56B}">
      <dsp:nvSpPr>
        <dsp:cNvPr id="0" name=""/>
        <dsp:cNvSpPr/>
      </dsp:nvSpPr>
      <dsp:spPr>
        <a:xfrm>
          <a:off x="4041330" y="2068969"/>
          <a:ext cx="1442367" cy="72118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kern="1200"/>
            <a:t>緩刑附戒癮治療</a:t>
          </a:r>
        </a:p>
      </dsp:txBody>
      <dsp:txXfrm>
        <a:off x="4062453" y="2090092"/>
        <a:ext cx="1400121" cy="678937"/>
      </dsp:txXfrm>
    </dsp:sp>
    <dsp:sp modelId="{34B1865F-CA30-4367-B4CB-F64BCD2D2AC5}">
      <dsp:nvSpPr>
        <dsp:cNvPr id="0" name=""/>
        <dsp:cNvSpPr/>
      </dsp:nvSpPr>
      <dsp:spPr>
        <a:xfrm rot="2142401">
          <a:off x="1378286" y="2201940"/>
          <a:ext cx="710512" cy="40561"/>
        </a:xfrm>
        <a:custGeom>
          <a:avLst/>
          <a:gdLst/>
          <a:ahLst/>
          <a:cxnLst/>
          <a:rect l="0" t="0" r="0" b="0"/>
          <a:pathLst>
            <a:path>
              <a:moveTo>
                <a:pt x="0" y="20280"/>
              </a:moveTo>
              <a:lnTo>
                <a:pt x="710512" y="20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15779" y="2204458"/>
        <a:ext cx="35525" cy="35525"/>
      </dsp:txXfrm>
    </dsp:sp>
    <dsp:sp modelId="{3FF3FA1E-C001-4A76-8926-503024EA2315}">
      <dsp:nvSpPr>
        <dsp:cNvPr id="0" name=""/>
        <dsp:cNvSpPr/>
      </dsp:nvSpPr>
      <dsp:spPr>
        <a:xfrm>
          <a:off x="2022016" y="2068969"/>
          <a:ext cx="1442367" cy="72118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altLang="en-US" sz="2100" b="1" kern="1200"/>
            <a:t>緩起訴戒癮治療</a:t>
          </a:r>
        </a:p>
      </dsp:txBody>
      <dsp:txXfrm>
        <a:off x="2043139" y="2090092"/>
        <a:ext cx="1400121" cy="6789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1ECD2-2300-4758-B8D7-C084FF017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41</Pages>
  <Words>3025</Words>
  <Characters>17247</Characters>
  <Application>Microsoft Office Word</Application>
  <DocSecurity>0</DocSecurity>
  <Lines>143</Lines>
  <Paragraphs>40</Paragraphs>
  <ScaleCrop>false</ScaleCrop>
  <Company>cy</Company>
  <LinksUpToDate>false</LinksUpToDate>
  <CharactersWithSpaces>20232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jhh</dc:creator>
  <cp:lastModifiedBy>stud01</cp:lastModifiedBy>
  <cp:revision>3</cp:revision>
  <cp:lastPrinted>2018-09-06T06:56:00Z</cp:lastPrinted>
  <dcterms:created xsi:type="dcterms:W3CDTF">2019-04-24T08:44:00Z</dcterms:created>
  <dcterms:modified xsi:type="dcterms:W3CDTF">2019-04-24T08:44:00Z</dcterms:modified>
</cp:coreProperties>
</file>