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EB4364" w:rsidRDefault="00E25849" w:rsidP="00F154A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B436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154AE" w:rsidRPr="00EB4364">
        <w:rPr>
          <w:rFonts w:hint="eastAsia"/>
        </w:rPr>
        <w:t>政府權責機關疑未積極宣導</w:t>
      </w:r>
      <w:r w:rsidR="005B0208" w:rsidRPr="00EB4364">
        <w:rPr>
          <w:rFonts w:hint="eastAsia"/>
        </w:rPr>
        <w:t>青少年</w:t>
      </w:r>
      <w:r w:rsidR="00F154AE" w:rsidRPr="00EB4364">
        <w:rPr>
          <w:rFonts w:hint="eastAsia"/>
        </w:rPr>
        <w:t>之性教育及衛生保健觀念，致國內未成年</w:t>
      </w:r>
      <w:r w:rsidR="00993529" w:rsidRPr="00EB4364">
        <w:rPr>
          <w:rFonts w:hint="eastAsia"/>
        </w:rPr>
        <w:t>少女</w:t>
      </w:r>
      <w:r w:rsidR="00F154AE" w:rsidRPr="00EB4364">
        <w:rPr>
          <w:rFonts w:hint="eastAsia"/>
        </w:rPr>
        <w:t>懷孕</w:t>
      </w:r>
      <w:r w:rsidR="00993529" w:rsidRPr="00EB4364">
        <w:rPr>
          <w:rFonts w:hint="eastAsia"/>
        </w:rPr>
        <w:t>及</w:t>
      </w:r>
      <w:r w:rsidR="00F154AE" w:rsidRPr="00EB4364">
        <w:rPr>
          <w:rFonts w:hint="eastAsia"/>
        </w:rPr>
        <w:t>生子事件頻傳，影響青少</w:t>
      </w:r>
      <w:r w:rsidR="005B0208" w:rsidRPr="00EB4364">
        <w:rPr>
          <w:rFonts w:hint="eastAsia"/>
        </w:rPr>
        <w:t>年</w:t>
      </w:r>
      <w:r w:rsidR="00F154AE" w:rsidRPr="00EB4364">
        <w:rPr>
          <w:rFonts w:hint="eastAsia"/>
        </w:rPr>
        <w:t>身心健康、學業及子女教養問題等情案。</w:t>
      </w: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pPr>
    </w:p>
    <w:p w:rsidR="00EB4364" w:rsidRPr="00EB4364" w:rsidRDefault="00EB4364" w:rsidP="00EB4364">
      <w:pPr>
        <w:pStyle w:val="1"/>
        <w:numPr>
          <w:ilvl w:val="0"/>
          <w:numId w:val="0"/>
        </w:numPr>
        <w:ind w:left="2381" w:hanging="2381"/>
        <w:rPr>
          <w:rFonts w:hint="eastAsia"/>
        </w:rPr>
      </w:pPr>
    </w:p>
    <w:p w:rsidR="00E25849" w:rsidRPr="00EB4364"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B4364">
        <w:rPr>
          <w:rFonts w:hAnsi="標楷體"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328DD" w:rsidRPr="00EB4364" w:rsidRDefault="001328DD" w:rsidP="00D75FD0">
      <w:pPr>
        <w:pStyle w:val="10"/>
        <w:ind w:left="680" w:firstLine="680"/>
        <w:rPr>
          <w:rFonts w:hAnsi="標楷體"/>
        </w:rPr>
      </w:pPr>
      <w:bookmarkStart w:id="49" w:name="_Toc524902730"/>
      <w:r w:rsidRPr="00EB4364">
        <w:rPr>
          <w:rFonts w:hAnsi="標楷體" w:hint="eastAsia"/>
        </w:rPr>
        <w:t>按西元</w:t>
      </w:r>
      <w:r w:rsidR="00090D63" w:rsidRPr="00EB4364">
        <w:rPr>
          <w:rStyle w:val="afc"/>
          <w:rFonts w:hAnsi="標楷體"/>
        </w:rPr>
        <w:footnoteReference w:id="1"/>
      </w:r>
      <w:r w:rsidR="00090D63" w:rsidRPr="00EB4364">
        <w:rPr>
          <w:rFonts w:hAnsi="標楷體" w:hint="eastAsia"/>
        </w:rPr>
        <w:t>（下同）</w:t>
      </w:r>
      <w:r w:rsidRPr="00EB4364">
        <w:rPr>
          <w:rFonts w:hAnsi="標楷體"/>
        </w:rPr>
        <w:t>1966</w:t>
      </w:r>
      <w:r w:rsidRPr="00EB4364">
        <w:rPr>
          <w:rFonts w:hAnsi="標楷體" w:hint="eastAsia"/>
        </w:rPr>
        <w:t>年</w:t>
      </w:r>
      <w:r w:rsidRPr="00EB4364">
        <w:rPr>
          <w:rFonts w:hAnsi="標楷體"/>
        </w:rPr>
        <w:t>12</w:t>
      </w:r>
      <w:r w:rsidRPr="00EB4364">
        <w:rPr>
          <w:rFonts w:hAnsi="標楷體" w:hint="eastAsia"/>
        </w:rPr>
        <w:t>月</w:t>
      </w:r>
      <w:r w:rsidRPr="00EB4364">
        <w:rPr>
          <w:rFonts w:hAnsi="標楷體"/>
        </w:rPr>
        <w:t>16</w:t>
      </w:r>
      <w:r w:rsidRPr="00EB4364">
        <w:rPr>
          <w:rFonts w:hAnsi="標楷體" w:hint="eastAsia"/>
        </w:rPr>
        <w:t>日聯合國大會決議通過之經濟社會文化權利國際公約</w:t>
      </w:r>
      <w:r w:rsidR="00B547A0" w:rsidRPr="00EB4364">
        <w:rPr>
          <w:rFonts w:hAnsi="標楷體" w:hint="eastAsia"/>
        </w:rPr>
        <w:t>（</w:t>
      </w:r>
      <w:r w:rsidR="00B547A0" w:rsidRPr="00EB4364">
        <w:rPr>
          <w:rFonts w:hAnsi="標楷體"/>
        </w:rPr>
        <w:t>International Covenant on Econom</w:t>
      </w:r>
      <w:r w:rsidR="003905B3" w:rsidRPr="00EB4364">
        <w:rPr>
          <w:rFonts w:hAnsi="標楷體"/>
        </w:rPr>
        <w:t>ic, Social and Cultural Rights</w:t>
      </w:r>
      <w:r w:rsidR="00B547A0" w:rsidRPr="00EB4364">
        <w:rPr>
          <w:rFonts w:hAnsi="標楷體" w:hint="eastAsia"/>
        </w:rPr>
        <w:t>）</w:t>
      </w:r>
      <w:r w:rsidRPr="00EB4364">
        <w:rPr>
          <w:rFonts w:hAnsi="標楷體" w:hint="eastAsia"/>
        </w:rPr>
        <w:t>第12條規定：「一</w:t>
      </w:r>
      <w:r w:rsidR="007C2C03" w:rsidRPr="00EB4364">
        <w:rPr>
          <w:rFonts w:hAnsi="標楷體" w:hint="eastAsia"/>
        </w:rPr>
        <w:t>、</w:t>
      </w:r>
      <w:r w:rsidRPr="00EB4364">
        <w:rPr>
          <w:rFonts w:hAnsi="標楷體" w:hint="eastAsia"/>
        </w:rPr>
        <w:t>本公約締約國確認人人有權享受可能達到之最高標準之身體與精神健康。二</w:t>
      </w:r>
      <w:r w:rsidR="007C2C03" w:rsidRPr="00EB4364">
        <w:rPr>
          <w:rFonts w:hAnsi="標楷體" w:hint="eastAsia"/>
        </w:rPr>
        <w:t>、</w:t>
      </w:r>
      <w:r w:rsidRPr="00EB4364">
        <w:rPr>
          <w:rFonts w:hAnsi="標楷體" w:hint="eastAsia"/>
        </w:rPr>
        <w:t>本公約締約國為求充分實現此種權利所採取之步驟，應包括為達成下列目的所必要之措施：（一）設法減低死產率及嬰兒死亡率，並促進兒童之健康發育……」</w:t>
      </w:r>
      <w:r w:rsidR="00090D63" w:rsidRPr="00EB4364">
        <w:rPr>
          <w:rStyle w:val="afc"/>
          <w:rFonts w:hAnsi="標楷體"/>
        </w:rPr>
        <w:footnoteReference w:id="2"/>
      </w:r>
      <w:r w:rsidR="00D75FD0" w:rsidRPr="00EB4364">
        <w:rPr>
          <w:rFonts w:hAnsi="標楷體" w:hint="eastAsia"/>
        </w:rPr>
        <w:t>；1979年12月18日聯合國大會決議復通過消除對婦女一切形式歧視公約（</w:t>
      </w:r>
      <w:r w:rsidR="00D75FD0" w:rsidRPr="00EB4364">
        <w:rPr>
          <w:rFonts w:hAnsi="標楷體"/>
        </w:rPr>
        <w:t>Convention on the Elimination of All Forms of Discrimination Against Women</w:t>
      </w:r>
      <w:r w:rsidR="00D75FD0" w:rsidRPr="00EB4364">
        <w:rPr>
          <w:rFonts w:hAnsi="標楷體" w:hint="eastAsia"/>
        </w:rPr>
        <w:t>）</w:t>
      </w:r>
      <w:r w:rsidR="000B5B53" w:rsidRPr="00EB4364">
        <w:rPr>
          <w:rFonts w:hAnsi="標楷體" w:hint="eastAsia"/>
        </w:rPr>
        <w:t>，該公約</w:t>
      </w:r>
      <w:r w:rsidR="00D75FD0" w:rsidRPr="00EB4364">
        <w:rPr>
          <w:rFonts w:hAnsi="標楷體" w:hint="eastAsia"/>
        </w:rPr>
        <w:t>第12規定：「一、締約各國應採取一切適當措施以消除在保健方面對婦女的歧視，保證她們在男女平等的基礎上取得各種包括有關計劃生育的保健服務。二、</w:t>
      </w:r>
      <w:r w:rsidR="000B5B53" w:rsidRPr="00EB4364">
        <w:rPr>
          <w:rFonts w:hAnsi="標楷體" w:hint="eastAsia"/>
        </w:rPr>
        <w:t>……</w:t>
      </w:r>
      <w:r w:rsidR="00D75FD0" w:rsidRPr="00EB4364">
        <w:rPr>
          <w:rFonts w:hAnsi="標楷體" w:hint="eastAsia"/>
        </w:rPr>
        <w:t>締約各國應保證為婦女提供有關懷孕、分娩和產後期間的適當服務</w:t>
      </w:r>
      <w:r w:rsidR="00D75FD0" w:rsidRPr="00EB4364">
        <w:rPr>
          <w:rFonts w:hAnsi="標楷體" w:cs="新細明體" w:hint="eastAsia"/>
        </w:rPr>
        <w:t>……</w:t>
      </w:r>
      <w:r w:rsidR="00D75FD0" w:rsidRPr="00EB4364">
        <w:rPr>
          <w:rFonts w:hAnsi="標楷體" w:hint="eastAsia"/>
        </w:rPr>
        <w:t>」</w:t>
      </w:r>
      <w:r w:rsidR="000B5B53" w:rsidRPr="00EB4364">
        <w:rPr>
          <w:rStyle w:val="afc"/>
          <w:rFonts w:hAnsi="標楷體"/>
        </w:rPr>
        <w:footnoteReference w:id="3"/>
      </w:r>
      <w:r w:rsidR="000B5B53" w:rsidRPr="00EB4364">
        <w:rPr>
          <w:rFonts w:hAnsi="標楷體" w:hint="eastAsia"/>
        </w:rPr>
        <w:t>。</w:t>
      </w:r>
      <w:r w:rsidRPr="00EB4364">
        <w:rPr>
          <w:rFonts w:hAnsi="標楷體" w:hint="eastAsia"/>
        </w:rPr>
        <w:t>我國</w:t>
      </w:r>
      <w:r w:rsidR="00684EE6" w:rsidRPr="00EB4364">
        <w:rPr>
          <w:rFonts w:hAnsi="標楷體" w:hint="eastAsia"/>
        </w:rPr>
        <w:t>分別</w:t>
      </w:r>
      <w:r w:rsidRPr="00EB4364">
        <w:rPr>
          <w:rFonts w:hAnsi="標楷體" w:hint="eastAsia"/>
        </w:rPr>
        <w:t>於民國（下同）</w:t>
      </w:r>
      <w:r w:rsidRPr="00EB4364">
        <w:rPr>
          <w:rFonts w:hAnsi="標楷體"/>
        </w:rPr>
        <w:t>98</w:t>
      </w:r>
      <w:r w:rsidRPr="00EB4364">
        <w:rPr>
          <w:rFonts w:hAnsi="標楷體" w:hint="eastAsia"/>
        </w:rPr>
        <w:t>年</w:t>
      </w:r>
      <w:r w:rsidRPr="00EB4364">
        <w:rPr>
          <w:rFonts w:hAnsi="標楷體"/>
        </w:rPr>
        <w:t>4</w:t>
      </w:r>
      <w:r w:rsidRPr="00EB4364">
        <w:rPr>
          <w:rFonts w:hAnsi="標楷體" w:hint="eastAsia"/>
        </w:rPr>
        <w:t>月</w:t>
      </w:r>
      <w:r w:rsidRPr="00EB4364">
        <w:rPr>
          <w:rFonts w:hAnsi="標楷體"/>
        </w:rPr>
        <w:t>22</w:t>
      </w:r>
      <w:r w:rsidRPr="00EB4364">
        <w:rPr>
          <w:rFonts w:hAnsi="標楷體" w:hint="eastAsia"/>
        </w:rPr>
        <w:t>日</w:t>
      </w:r>
      <w:r w:rsidR="003905B3" w:rsidRPr="00EB4364">
        <w:rPr>
          <w:rFonts w:hAnsi="標楷體" w:hint="eastAsia"/>
        </w:rPr>
        <w:t>制定</w:t>
      </w:r>
      <w:r w:rsidRPr="00EB4364">
        <w:rPr>
          <w:rFonts w:hAnsi="標楷體" w:hint="eastAsia"/>
        </w:rPr>
        <w:t>公布</w:t>
      </w:r>
      <w:r w:rsidR="00535FA4" w:rsidRPr="00EB4364">
        <w:rPr>
          <w:rFonts w:hAnsi="標楷體" w:hint="eastAsia"/>
        </w:rPr>
        <w:t>公民與政治權利國際公約及經濟社會文化權利國際公約施行法</w:t>
      </w:r>
      <w:r w:rsidRPr="00EB4364">
        <w:rPr>
          <w:rFonts w:hAnsi="標楷體" w:hint="eastAsia"/>
        </w:rPr>
        <w:t>，並自</w:t>
      </w:r>
      <w:r w:rsidRPr="00EB4364">
        <w:rPr>
          <w:rFonts w:hAnsi="標楷體"/>
        </w:rPr>
        <w:t>98</w:t>
      </w:r>
      <w:r w:rsidRPr="00EB4364">
        <w:rPr>
          <w:rFonts w:hAnsi="標楷體" w:hint="eastAsia"/>
        </w:rPr>
        <w:t>年</w:t>
      </w:r>
      <w:r w:rsidRPr="00EB4364">
        <w:rPr>
          <w:rFonts w:hAnsi="標楷體"/>
        </w:rPr>
        <w:t>12</w:t>
      </w:r>
      <w:r w:rsidRPr="00EB4364">
        <w:rPr>
          <w:rFonts w:hAnsi="標楷體" w:hint="eastAsia"/>
        </w:rPr>
        <w:t>月</w:t>
      </w:r>
      <w:r w:rsidRPr="00EB4364">
        <w:rPr>
          <w:rFonts w:hAnsi="標楷體"/>
        </w:rPr>
        <w:t>10</w:t>
      </w:r>
      <w:r w:rsidR="00BD7F2B" w:rsidRPr="00EB4364">
        <w:rPr>
          <w:rFonts w:hAnsi="標楷體" w:hint="eastAsia"/>
        </w:rPr>
        <w:t>日施行</w:t>
      </w:r>
      <w:r w:rsidR="00535FA4" w:rsidRPr="00EB4364">
        <w:rPr>
          <w:rFonts w:hAnsi="標楷體" w:hint="eastAsia"/>
        </w:rPr>
        <w:t>、</w:t>
      </w:r>
      <w:r w:rsidR="00BD7F2B" w:rsidRPr="00EB4364">
        <w:rPr>
          <w:rFonts w:hAnsi="標楷體" w:hint="eastAsia"/>
        </w:rPr>
        <w:t>100年6月8日</w:t>
      </w:r>
      <w:r w:rsidR="003905B3" w:rsidRPr="00EB4364">
        <w:rPr>
          <w:rFonts w:hAnsi="標楷體" w:hint="eastAsia"/>
        </w:rPr>
        <w:t>制定</w:t>
      </w:r>
      <w:r w:rsidR="000C1C33" w:rsidRPr="00EB4364">
        <w:rPr>
          <w:rFonts w:hAnsi="標楷體" w:hint="eastAsia"/>
        </w:rPr>
        <w:t>公布</w:t>
      </w:r>
      <w:r w:rsidR="00535FA4" w:rsidRPr="00EB4364">
        <w:rPr>
          <w:rFonts w:hAnsi="標楷體" w:hint="eastAsia"/>
        </w:rPr>
        <w:t>消除對婦女一切形式歧視公約施行法</w:t>
      </w:r>
      <w:r w:rsidR="000C1C33" w:rsidRPr="00EB4364">
        <w:rPr>
          <w:rFonts w:hAnsi="標楷體" w:hint="eastAsia"/>
        </w:rPr>
        <w:t>，並自101年1月1日施行。</w:t>
      </w:r>
    </w:p>
    <w:p w:rsidR="004F6710" w:rsidRPr="00EB4364" w:rsidRDefault="002A13B8" w:rsidP="00D96BD2">
      <w:pPr>
        <w:pStyle w:val="10"/>
        <w:ind w:left="680" w:firstLine="680"/>
        <w:rPr>
          <w:rFonts w:hAnsi="標楷體"/>
        </w:rPr>
      </w:pPr>
      <w:r w:rsidRPr="00EB4364">
        <w:rPr>
          <w:rFonts w:hAnsi="標楷體" w:hint="eastAsia"/>
        </w:rPr>
        <w:t>邇來</w:t>
      </w:r>
      <w:r w:rsidR="00636C35" w:rsidRPr="00EB4364">
        <w:rPr>
          <w:rFonts w:hAnsi="標楷體" w:hint="eastAsia"/>
        </w:rPr>
        <w:t>國內未成年少女懷孕事件頻傳，</w:t>
      </w:r>
      <w:r w:rsidR="00C4546B" w:rsidRPr="00EB4364">
        <w:rPr>
          <w:rFonts w:hAnsi="標楷體" w:hint="eastAsia"/>
        </w:rPr>
        <w:t>依內政部統計</w:t>
      </w:r>
      <w:r w:rsidR="00587B5C" w:rsidRPr="00EB4364">
        <w:rPr>
          <w:rFonts w:hAnsi="標楷體" w:hint="eastAsia"/>
        </w:rPr>
        <w:lastRenderedPageBreak/>
        <w:t>處資料，</w:t>
      </w:r>
      <w:r w:rsidR="00C4546B" w:rsidRPr="00EB4364">
        <w:rPr>
          <w:rFonts w:hAnsi="標楷體" w:hint="eastAsia"/>
        </w:rPr>
        <w:t>近10年（95至105年）15歲至19</w:t>
      </w:r>
      <w:r w:rsidR="007C07A8" w:rsidRPr="00EB4364">
        <w:rPr>
          <w:rFonts w:hAnsi="標楷體" w:hint="eastAsia"/>
        </w:rPr>
        <w:t>歲的未成年產母</w:t>
      </w:r>
      <w:r w:rsidR="00C4546B" w:rsidRPr="00EB4364">
        <w:rPr>
          <w:rFonts w:hAnsi="標楷體" w:hint="eastAsia"/>
        </w:rPr>
        <w:t>每年約有3,000名，且</w:t>
      </w:r>
      <w:r w:rsidR="00C4546B" w:rsidRPr="00EB4364">
        <w:rPr>
          <w:rFonts w:hAnsi="標楷體"/>
        </w:rPr>
        <w:t>未成年</w:t>
      </w:r>
      <w:r w:rsidR="002B0298" w:rsidRPr="00EB4364">
        <w:rPr>
          <w:rFonts w:hAnsi="標楷體" w:hint="eastAsia"/>
        </w:rPr>
        <w:t>少女</w:t>
      </w:r>
      <w:r w:rsidR="00C4546B" w:rsidRPr="00EB4364">
        <w:rPr>
          <w:rFonts w:hAnsi="標楷體"/>
        </w:rPr>
        <w:t>懷孕年齡有</w:t>
      </w:r>
      <w:r w:rsidRPr="00EB4364">
        <w:rPr>
          <w:rFonts w:hAnsi="標楷體" w:hint="eastAsia"/>
        </w:rPr>
        <w:t>逐漸</w:t>
      </w:r>
      <w:r w:rsidR="00C4546B" w:rsidRPr="00EB4364">
        <w:rPr>
          <w:rFonts w:hAnsi="標楷體"/>
        </w:rPr>
        <w:t>下降</w:t>
      </w:r>
      <w:r w:rsidRPr="00EB4364">
        <w:rPr>
          <w:rFonts w:hAnsi="標楷體" w:hint="eastAsia"/>
        </w:rPr>
        <w:t>的</w:t>
      </w:r>
      <w:r w:rsidR="00C4546B" w:rsidRPr="00EB4364">
        <w:rPr>
          <w:rFonts w:hAnsi="標楷體"/>
        </w:rPr>
        <w:t>趨勢，</w:t>
      </w:r>
      <w:r w:rsidR="00C4546B" w:rsidRPr="00EB4364">
        <w:rPr>
          <w:rFonts w:hAnsi="標楷體" w:hint="eastAsia"/>
        </w:rPr>
        <w:t>因</w:t>
      </w:r>
      <w:r w:rsidRPr="00EB4364">
        <w:rPr>
          <w:rFonts w:hAnsi="標楷體" w:hint="eastAsia"/>
        </w:rPr>
        <w:t>其等</w:t>
      </w:r>
      <w:r w:rsidR="00C4546B" w:rsidRPr="00EB4364">
        <w:rPr>
          <w:rFonts w:hAnsi="標楷體" w:hint="eastAsia"/>
        </w:rPr>
        <w:t>身心皆未發展成熟，除可能面臨家庭、社會、經濟、教育、</w:t>
      </w:r>
      <w:r w:rsidR="0042721F" w:rsidRPr="00EB4364">
        <w:rPr>
          <w:rFonts w:hAnsi="標楷體" w:hint="eastAsia"/>
        </w:rPr>
        <w:t>身心狀況</w:t>
      </w:r>
      <w:r w:rsidR="00C4546B" w:rsidRPr="00EB4364">
        <w:rPr>
          <w:rFonts w:hAnsi="標楷體" w:hint="eastAsia"/>
        </w:rPr>
        <w:t>等多方困境外，亦有較高風險需承受新生兒</w:t>
      </w:r>
      <w:r w:rsidR="0053179E" w:rsidRPr="00EB4364">
        <w:rPr>
          <w:rFonts w:hAnsi="標楷體" w:hint="eastAsia"/>
        </w:rPr>
        <w:t>死產、早產及體重不足等</w:t>
      </w:r>
      <w:r w:rsidR="00C4546B" w:rsidRPr="00EB4364">
        <w:rPr>
          <w:rFonts w:hAnsi="標楷體" w:hint="eastAsia"/>
        </w:rPr>
        <w:t>問題。究</w:t>
      </w:r>
      <w:r w:rsidR="004603A9" w:rsidRPr="00EB4364">
        <w:rPr>
          <w:rFonts w:hAnsi="標楷體" w:hint="eastAsia"/>
        </w:rPr>
        <w:t>政府權責機關</w:t>
      </w:r>
      <w:r w:rsidR="00C4546B" w:rsidRPr="00EB4364">
        <w:rPr>
          <w:rFonts w:hAnsi="標楷體" w:hint="eastAsia"/>
        </w:rPr>
        <w:t>有無確實掌握未成年</w:t>
      </w:r>
      <w:r w:rsidR="0042721F" w:rsidRPr="00EB4364">
        <w:rPr>
          <w:rFonts w:hAnsi="標楷體" w:hint="eastAsia"/>
        </w:rPr>
        <w:t>少女</w:t>
      </w:r>
      <w:r w:rsidR="00C4546B" w:rsidRPr="00EB4364">
        <w:rPr>
          <w:rFonts w:hAnsi="標楷體" w:hint="eastAsia"/>
        </w:rPr>
        <w:t>懷孕情形，並有效</w:t>
      </w:r>
      <w:r w:rsidR="004603A9" w:rsidRPr="00EB4364">
        <w:rPr>
          <w:rFonts w:hAnsi="標楷體" w:hint="eastAsia"/>
        </w:rPr>
        <w:t>宣導</w:t>
      </w:r>
      <w:r w:rsidR="0042721F" w:rsidRPr="00EB4364">
        <w:rPr>
          <w:rFonts w:hAnsi="標楷體" w:hint="eastAsia"/>
        </w:rPr>
        <w:t>青少年</w:t>
      </w:r>
      <w:r w:rsidR="004603A9" w:rsidRPr="00EB4364">
        <w:rPr>
          <w:rFonts w:hAnsi="標楷體" w:hint="eastAsia"/>
        </w:rPr>
        <w:t>之性教育及衛生保健觀念</w:t>
      </w:r>
      <w:r w:rsidRPr="00EB4364">
        <w:rPr>
          <w:rFonts w:hAnsi="標楷體" w:hint="eastAsia"/>
        </w:rPr>
        <w:t>等</w:t>
      </w:r>
      <w:r w:rsidR="004603A9" w:rsidRPr="00EB4364">
        <w:rPr>
          <w:rFonts w:hAnsi="標楷體" w:hint="eastAsia"/>
        </w:rPr>
        <w:t>，</w:t>
      </w:r>
      <w:r w:rsidR="00C4546B" w:rsidRPr="00EB4364">
        <w:rPr>
          <w:rFonts w:hAnsi="標楷體"/>
        </w:rPr>
        <w:t>均有深入瞭解之必要。</w:t>
      </w:r>
      <w:r w:rsidR="00C45693" w:rsidRPr="00EB4364">
        <w:rPr>
          <w:rFonts w:hAnsi="標楷體" w:hint="eastAsia"/>
        </w:rPr>
        <w:t>案經</w:t>
      </w:r>
      <w:r w:rsidR="004603A9" w:rsidRPr="00EB4364">
        <w:rPr>
          <w:rFonts w:hAnsi="標楷體" w:hint="eastAsia"/>
        </w:rPr>
        <w:t>106年1月12日分別函請衛生福利部(下稱衛福部)、教育部、內政部就有關事項查復併附佐證資料到院</w:t>
      </w:r>
      <w:r w:rsidR="00F42CBB" w:rsidRPr="00EB4364">
        <w:rPr>
          <w:rStyle w:val="afc"/>
          <w:rFonts w:hAnsi="標楷體"/>
        </w:rPr>
        <w:footnoteReference w:id="4"/>
      </w:r>
      <w:r w:rsidR="00D812BC" w:rsidRPr="00EB4364">
        <w:rPr>
          <w:rFonts w:hAnsi="標楷體" w:hint="eastAsia"/>
        </w:rPr>
        <w:t>，</w:t>
      </w:r>
      <w:r w:rsidR="004603A9" w:rsidRPr="00EB4364">
        <w:rPr>
          <w:rFonts w:hAnsi="標楷體" w:hint="eastAsia"/>
        </w:rPr>
        <w:t>同年3月17日邀集</w:t>
      </w:r>
      <w:r w:rsidR="00090D63" w:rsidRPr="00EB4364">
        <w:rPr>
          <w:rFonts w:hAnsi="標楷體" w:hint="eastAsia"/>
        </w:rPr>
        <w:t>相關</w:t>
      </w:r>
      <w:r w:rsidR="004603A9" w:rsidRPr="00EB4364">
        <w:rPr>
          <w:rFonts w:hAnsi="標楷體" w:hint="eastAsia"/>
        </w:rPr>
        <w:t>學者專家到院諮詢座談，並於同年4月13日</w:t>
      </w:r>
      <w:r w:rsidR="00D812BC" w:rsidRPr="00EB4364">
        <w:rPr>
          <w:rFonts w:hAnsi="標楷體" w:hint="eastAsia"/>
        </w:rPr>
        <w:t>詢問</w:t>
      </w:r>
      <w:r w:rsidR="004603A9" w:rsidRPr="00EB4364">
        <w:rPr>
          <w:rFonts w:hAnsi="標楷體" w:hint="eastAsia"/>
        </w:rPr>
        <w:t>衛福部</w:t>
      </w:r>
      <w:r w:rsidR="001328DD" w:rsidRPr="00EB4364">
        <w:rPr>
          <w:rFonts w:hAnsi="標楷體" w:hint="eastAsia"/>
        </w:rPr>
        <w:t>呂</w:t>
      </w:r>
      <w:r w:rsidR="0076049F" w:rsidRPr="00EB4364">
        <w:rPr>
          <w:rFonts w:hAnsi="標楷體" w:hint="eastAsia"/>
        </w:rPr>
        <w:t>寶靜</w:t>
      </w:r>
      <w:r w:rsidR="001328DD" w:rsidRPr="00EB4364">
        <w:rPr>
          <w:rFonts w:hAnsi="標楷體" w:hint="eastAsia"/>
        </w:rPr>
        <w:t>次長</w:t>
      </w:r>
      <w:r w:rsidR="004603A9" w:rsidRPr="00EB4364">
        <w:rPr>
          <w:rFonts w:hAnsi="標楷體" w:hint="eastAsia"/>
        </w:rPr>
        <w:t>及</w:t>
      </w:r>
      <w:r w:rsidR="001328DD" w:rsidRPr="00EB4364">
        <w:rPr>
          <w:rFonts w:hAnsi="標楷體" w:hint="eastAsia"/>
        </w:rPr>
        <w:t>教育部國民及學前教育署（下稱</w:t>
      </w:r>
      <w:r w:rsidR="00D812BC" w:rsidRPr="00EB4364">
        <w:rPr>
          <w:rFonts w:hAnsi="標楷體" w:hint="eastAsia"/>
        </w:rPr>
        <w:t>教育部</w:t>
      </w:r>
      <w:r w:rsidR="001328DD" w:rsidRPr="00EB4364">
        <w:rPr>
          <w:rFonts w:hAnsi="標楷體" w:hint="eastAsia"/>
        </w:rPr>
        <w:t>國教署）邱</w:t>
      </w:r>
      <w:r w:rsidR="0076049F" w:rsidRPr="00EB4364">
        <w:rPr>
          <w:rFonts w:hAnsi="標楷體" w:hint="eastAsia"/>
        </w:rPr>
        <w:t>乾國</w:t>
      </w:r>
      <w:r w:rsidR="001328DD" w:rsidRPr="00EB4364">
        <w:rPr>
          <w:rFonts w:hAnsi="標楷體" w:hint="eastAsia"/>
        </w:rPr>
        <w:t>署長</w:t>
      </w:r>
      <w:r w:rsidR="004603A9" w:rsidRPr="00EB4364">
        <w:rPr>
          <w:rFonts w:hAnsi="標楷體" w:hint="eastAsia"/>
        </w:rPr>
        <w:t>等相關主管人員，</w:t>
      </w:r>
      <w:r w:rsidR="00D812BC" w:rsidRPr="00EB4364">
        <w:rPr>
          <w:rFonts w:hAnsi="標楷體" w:hint="eastAsia"/>
        </w:rPr>
        <w:t>嗣</w:t>
      </w:r>
      <w:r w:rsidR="00B547A0" w:rsidRPr="00EB4364">
        <w:rPr>
          <w:rFonts w:hAnsi="標楷體" w:hint="eastAsia"/>
        </w:rPr>
        <w:t>衛福部</w:t>
      </w:r>
      <w:r w:rsidR="003B3D34" w:rsidRPr="00EB4364">
        <w:rPr>
          <w:rFonts w:hAnsi="標楷體" w:hint="eastAsia"/>
        </w:rPr>
        <w:t>、</w:t>
      </w:r>
      <w:r w:rsidR="00B547A0" w:rsidRPr="00EB4364">
        <w:rPr>
          <w:rFonts w:hAnsi="標楷體" w:hint="eastAsia"/>
        </w:rPr>
        <w:t>教育部</w:t>
      </w:r>
      <w:r w:rsidR="003B3D34" w:rsidRPr="00EB4364">
        <w:rPr>
          <w:rFonts w:hAnsi="標楷體" w:hint="eastAsia"/>
        </w:rPr>
        <w:t>及內政部</w:t>
      </w:r>
      <w:r w:rsidR="00B547A0" w:rsidRPr="00EB4364">
        <w:rPr>
          <w:rFonts w:hAnsi="標楷體" w:hint="eastAsia"/>
        </w:rPr>
        <w:t>分別於同年4月</w:t>
      </w:r>
      <w:r w:rsidR="00D6512B" w:rsidRPr="00EB4364">
        <w:rPr>
          <w:rFonts w:hAnsi="標楷體" w:hint="eastAsia"/>
        </w:rPr>
        <w:t>27</w:t>
      </w:r>
      <w:r w:rsidR="00B547A0" w:rsidRPr="00EB4364">
        <w:rPr>
          <w:rFonts w:hAnsi="標楷體" w:hint="eastAsia"/>
        </w:rPr>
        <w:t>日</w:t>
      </w:r>
      <w:r w:rsidR="00ED099D" w:rsidRPr="00EB4364">
        <w:rPr>
          <w:rFonts w:hAnsi="標楷體" w:hint="eastAsia"/>
        </w:rPr>
        <w:t>、</w:t>
      </w:r>
      <w:r w:rsidR="00B547A0" w:rsidRPr="00EB4364">
        <w:rPr>
          <w:rFonts w:hAnsi="標楷體" w:hint="eastAsia"/>
        </w:rPr>
        <w:t>5月1日函送書面</w:t>
      </w:r>
      <w:r w:rsidR="00ED099D" w:rsidRPr="00EB4364">
        <w:rPr>
          <w:rFonts w:hAnsi="標楷體" w:hint="eastAsia"/>
        </w:rPr>
        <w:t>及</w:t>
      </w:r>
      <w:r w:rsidR="003905B3" w:rsidRPr="00EB4364">
        <w:rPr>
          <w:rFonts w:hAnsi="標楷體" w:hint="eastAsia"/>
        </w:rPr>
        <w:t>於</w:t>
      </w:r>
      <w:r w:rsidR="00D81B6E" w:rsidRPr="00EB4364">
        <w:rPr>
          <w:rFonts w:hAnsi="標楷體" w:hint="eastAsia"/>
        </w:rPr>
        <w:t>6月30日、</w:t>
      </w:r>
      <w:r w:rsidR="00ED099D" w:rsidRPr="00EB4364">
        <w:rPr>
          <w:rFonts w:hAnsi="標楷體" w:hint="eastAsia"/>
        </w:rPr>
        <w:t>7月27日</w:t>
      </w:r>
      <w:r w:rsidR="0042721F" w:rsidRPr="00EB4364">
        <w:rPr>
          <w:rFonts w:hAnsi="標楷體" w:hint="eastAsia"/>
        </w:rPr>
        <w:t>、</w:t>
      </w:r>
      <w:r w:rsidR="003B3D34" w:rsidRPr="00EB4364">
        <w:rPr>
          <w:rFonts w:hAnsi="標楷體" w:hint="eastAsia"/>
        </w:rPr>
        <w:t>8月3日、9月20日、</w:t>
      </w:r>
      <w:r w:rsidR="0042721F" w:rsidRPr="00EB4364">
        <w:rPr>
          <w:rFonts w:hAnsi="標楷體" w:hint="eastAsia"/>
        </w:rPr>
        <w:t>9月26日</w:t>
      </w:r>
      <w:r w:rsidR="00AD279B" w:rsidRPr="00EB4364">
        <w:rPr>
          <w:rFonts w:hAnsi="標楷體" w:hint="eastAsia"/>
        </w:rPr>
        <w:t>、10月6日</w:t>
      </w:r>
      <w:r w:rsidR="003B3D34" w:rsidRPr="00EB4364">
        <w:rPr>
          <w:rFonts w:hAnsi="標楷體" w:hint="eastAsia"/>
        </w:rPr>
        <w:t>、10月31日</w:t>
      </w:r>
      <w:r w:rsidR="003905B3" w:rsidRPr="00EB4364">
        <w:rPr>
          <w:rFonts w:hAnsi="標楷體" w:hint="eastAsia"/>
        </w:rPr>
        <w:t>以</w:t>
      </w:r>
      <w:r w:rsidR="00ED099D" w:rsidRPr="00EB4364">
        <w:rPr>
          <w:rFonts w:hAnsi="標楷體" w:hint="eastAsia"/>
        </w:rPr>
        <w:t>電</w:t>
      </w:r>
      <w:r w:rsidR="0042721F" w:rsidRPr="00EB4364">
        <w:rPr>
          <w:rFonts w:hAnsi="標楷體" w:hint="eastAsia"/>
        </w:rPr>
        <w:t>子</w:t>
      </w:r>
      <w:r w:rsidR="00ED099D" w:rsidRPr="00EB4364">
        <w:rPr>
          <w:rFonts w:hAnsi="標楷體" w:hint="eastAsia"/>
        </w:rPr>
        <w:t>郵</w:t>
      </w:r>
      <w:r w:rsidR="0042721F" w:rsidRPr="00EB4364">
        <w:rPr>
          <w:rFonts w:hAnsi="標楷體" w:hint="eastAsia"/>
        </w:rPr>
        <w:t>件</w:t>
      </w:r>
      <w:r w:rsidR="00B547A0" w:rsidRPr="00EB4364">
        <w:rPr>
          <w:rFonts w:hAnsi="標楷體" w:hint="eastAsia"/>
        </w:rPr>
        <w:t>補充資料</w:t>
      </w:r>
      <w:r w:rsidR="00D812BC" w:rsidRPr="00EB4364">
        <w:rPr>
          <w:rFonts w:hAnsi="標楷體" w:hint="eastAsia"/>
        </w:rPr>
        <w:t>到院</w:t>
      </w:r>
      <w:r w:rsidR="00B547A0" w:rsidRPr="00EB4364">
        <w:rPr>
          <w:rFonts w:hAnsi="標楷體" w:hint="eastAsia"/>
          <w:bCs/>
        </w:rPr>
        <w:t>，業調查竣事，茲臚列調查意見如次：</w:t>
      </w:r>
    </w:p>
    <w:p w:rsidR="00F96D5A" w:rsidRPr="00EB4364" w:rsidRDefault="00F96D5A" w:rsidP="00F96D5A">
      <w:pPr>
        <w:pStyle w:val="2"/>
        <w:rPr>
          <w:rFonts w:hAnsi="標楷體"/>
          <w:b/>
        </w:rPr>
      </w:pPr>
      <w:r w:rsidRPr="00EB4364">
        <w:rPr>
          <w:rFonts w:hAnsi="標楷體" w:hint="eastAsia"/>
          <w:b/>
        </w:rPr>
        <w:t>衛福部及教育部均未能確實</w:t>
      </w:r>
      <w:r w:rsidR="00725F23" w:rsidRPr="00EB4364">
        <w:rPr>
          <w:rFonts w:hAnsi="標楷體" w:hint="eastAsia"/>
          <w:b/>
        </w:rPr>
        <w:t>掌握未成年</w:t>
      </w:r>
      <w:r w:rsidR="0042721F" w:rsidRPr="00EB4364">
        <w:rPr>
          <w:rFonts w:hAnsi="標楷體" w:hint="eastAsia"/>
          <w:b/>
        </w:rPr>
        <w:t>少女</w:t>
      </w:r>
      <w:r w:rsidR="00725F23" w:rsidRPr="00EB4364">
        <w:rPr>
          <w:rFonts w:hAnsi="標楷體" w:hint="eastAsia"/>
          <w:b/>
        </w:rPr>
        <w:t>懷孕人數情形，亦無</w:t>
      </w:r>
      <w:r w:rsidRPr="00EB4364">
        <w:rPr>
          <w:rFonts w:hAnsi="標楷體" w:hint="eastAsia"/>
          <w:b/>
        </w:rPr>
        <w:t>建立</w:t>
      </w:r>
      <w:r w:rsidR="00725F23" w:rsidRPr="00EB4364">
        <w:rPr>
          <w:rFonts w:hAnsi="標楷體" w:hint="eastAsia"/>
          <w:b/>
        </w:rPr>
        <w:t>相關</w:t>
      </w:r>
      <w:r w:rsidR="00FE446D" w:rsidRPr="00EB4364">
        <w:rPr>
          <w:rFonts w:hAnsi="標楷體" w:hint="eastAsia"/>
          <w:b/>
        </w:rPr>
        <w:t>勾稽比對機制，跨部會間之服務資源缺乏整合平台</w:t>
      </w:r>
      <w:r w:rsidR="00774AB3" w:rsidRPr="00EB4364">
        <w:rPr>
          <w:rFonts w:hAnsi="標楷體" w:hint="eastAsia"/>
          <w:b/>
        </w:rPr>
        <w:t>及關鍵績效指標</w:t>
      </w:r>
      <w:r w:rsidR="00FE446D" w:rsidRPr="00EB4364">
        <w:rPr>
          <w:rFonts w:hAnsi="標楷體" w:hint="eastAsia"/>
          <w:b/>
        </w:rPr>
        <w:t>，致</w:t>
      </w:r>
      <w:r w:rsidRPr="00EB4364">
        <w:rPr>
          <w:rFonts w:hAnsi="標楷體" w:hint="eastAsia"/>
          <w:b/>
        </w:rPr>
        <w:t>政府對未成年</w:t>
      </w:r>
      <w:r w:rsidR="0042721F" w:rsidRPr="00EB4364">
        <w:rPr>
          <w:rFonts w:hAnsi="標楷體" w:hint="eastAsia"/>
          <w:b/>
        </w:rPr>
        <w:t>少女</w:t>
      </w:r>
      <w:r w:rsidRPr="00EB4364">
        <w:rPr>
          <w:rFonts w:hAnsi="標楷體" w:hint="eastAsia"/>
          <w:b/>
        </w:rPr>
        <w:t>懷孕問題與現實</w:t>
      </w:r>
      <w:r w:rsidR="000A7D09" w:rsidRPr="00EB4364">
        <w:rPr>
          <w:rFonts w:hAnsi="標楷體" w:hint="eastAsia"/>
          <w:b/>
        </w:rPr>
        <w:t>嚴重</w:t>
      </w:r>
      <w:r w:rsidRPr="00EB4364">
        <w:rPr>
          <w:rFonts w:hAnsi="標楷體" w:hint="eastAsia"/>
          <w:b/>
        </w:rPr>
        <w:t>脫節，</w:t>
      </w:r>
      <w:r w:rsidR="005E0D88" w:rsidRPr="00EB4364">
        <w:rPr>
          <w:rFonts w:hAnsi="標楷體" w:hint="eastAsia"/>
          <w:b/>
        </w:rPr>
        <w:t>及</w:t>
      </w:r>
      <w:r w:rsidR="0039575C" w:rsidRPr="00EB4364">
        <w:rPr>
          <w:rFonts w:hAnsi="標楷體" w:hint="eastAsia"/>
          <w:b/>
        </w:rPr>
        <w:t>我國</w:t>
      </w:r>
      <w:r w:rsidRPr="00EB4364">
        <w:rPr>
          <w:rFonts w:hAnsi="標楷體" w:hint="eastAsia"/>
          <w:b/>
        </w:rPr>
        <w:t>未成年</w:t>
      </w:r>
      <w:r w:rsidR="0042721F" w:rsidRPr="00EB4364">
        <w:rPr>
          <w:rFonts w:hAnsi="標楷體" w:hint="eastAsia"/>
          <w:b/>
        </w:rPr>
        <w:t>產母</w:t>
      </w:r>
      <w:r w:rsidRPr="00EB4364">
        <w:rPr>
          <w:rFonts w:hAnsi="標楷體" w:hint="eastAsia"/>
          <w:b/>
        </w:rPr>
        <w:t>人數</w:t>
      </w:r>
      <w:r w:rsidR="0039575C" w:rsidRPr="00EB4364">
        <w:rPr>
          <w:rFonts w:hAnsi="標楷體" w:hint="eastAsia"/>
          <w:b/>
        </w:rPr>
        <w:t>長達10年</w:t>
      </w:r>
      <w:r w:rsidR="00774AB3" w:rsidRPr="00EB4364">
        <w:rPr>
          <w:rFonts w:hAnsi="標楷體" w:hint="eastAsia"/>
          <w:b/>
        </w:rPr>
        <w:t>皆</w:t>
      </w:r>
      <w:r w:rsidRPr="00EB4364">
        <w:rPr>
          <w:rFonts w:hAnsi="標楷體" w:hint="eastAsia"/>
          <w:b/>
        </w:rPr>
        <w:t>無法有效下降，影響兒</w:t>
      </w:r>
      <w:r w:rsidR="000A7D09" w:rsidRPr="00EB4364">
        <w:rPr>
          <w:rFonts w:hAnsi="標楷體" w:hint="eastAsia"/>
          <w:b/>
        </w:rPr>
        <w:t>童及青</w:t>
      </w:r>
      <w:r w:rsidRPr="00EB4364">
        <w:rPr>
          <w:rFonts w:hAnsi="標楷體" w:hint="eastAsia"/>
          <w:b/>
        </w:rPr>
        <w:t>少</w:t>
      </w:r>
      <w:r w:rsidR="000A7D09" w:rsidRPr="00EB4364">
        <w:rPr>
          <w:rFonts w:hAnsi="標楷體" w:hint="eastAsia"/>
          <w:b/>
        </w:rPr>
        <w:t>年</w:t>
      </w:r>
      <w:r w:rsidRPr="00EB4364">
        <w:rPr>
          <w:rFonts w:hAnsi="標楷體" w:hint="eastAsia"/>
          <w:b/>
        </w:rPr>
        <w:t>身心健康及受教權甚鉅，</w:t>
      </w:r>
      <w:r w:rsidR="0039575C" w:rsidRPr="00EB4364">
        <w:rPr>
          <w:rFonts w:hAnsi="標楷體" w:hint="eastAsia"/>
          <w:b/>
        </w:rPr>
        <w:t>相關部會</w:t>
      </w:r>
      <w:r w:rsidR="004B3B5B" w:rsidRPr="00EB4364">
        <w:rPr>
          <w:rFonts w:hAnsi="標楷體" w:hint="eastAsia"/>
          <w:b/>
        </w:rPr>
        <w:t>行事便宜草率，洵有嚴重疏失</w:t>
      </w:r>
    </w:p>
    <w:p w:rsidR="00FE446D" w:rsidRPr="00EB4364" w:rsidRDefault="00FE446D" w:rsidP="00FE446D">
      <w:pPr>
        <w:pStyle w:val="3"/>
        <w:rPr>
          <w:rFonts w:hAnsi="標楷體"/>
          <w:color w:val="auto"/>
        </w:rPr>
      </w:pPr>
      <w:bookmarkStart w:id="50" w:name="_Toc421794874"/>
      <w:bookmarkStart w:id="51" w:name="_Toc421795440"/>
      <w:bookmarkStart w:id="52" w:name="_Toc421796021"/>
      <w:bookmarkStart w:id="53" w:name="_Toc422834159"/>
      <w:r w:rsidRPr="00EB4364">
        <w:rPr>
          <w:rFonts w:hAnsi="標楷體" w:hint="eastAsia"/>
          <w:color w:val="auto"/>
        </w:rPr>
        <w:t>按我國</w:t>
      </w:r>
      <w:r w:rsidRPr="00EB4364">
        <w:rPr>
          <w:rFonts w:hAnsi="標楷體"/>
          <w:color w:val="auto"/>
        </w:rPr>
        <w:t>民法第12條規定滿</w:t>
      </w:r>
      <w:r w:rsidRPr="00EB4364">
        <w:rPr>
          <w:rFonts w:hAnsi="標楷體" w:hint="eastAsia"/>
          <w:color w:val="auto"/>
        </w:rPr>
        <w:t>20</w:t>
      </w:r>
      <w:r w:rsidRPr="00EB4364">
        <w:rPr>
          <w:rFonts w:hAnsi="標楷體"/>
          <w:color w:val="auto"/>
        </w:rPr>
        <w:t>歲為成年，兒童及少年福利與權益保障法第2條明定所稱少年，指</w:t>
      </w:r>
      <w:r w:rsidRPr="00EB4364">
        <w:rPr>
          <w:rFonts w:hAnsi="標楷體" w:hint="eastAsia"/>
          <w:color w:val="auto"/>
        </w:rPr>
        <w:t>12</w:t>
      </w:r>
      <w:r w:rsidRPr="00EB4364">
        <w:rPr>
          <w:rFonts w:hAnsi="標楷體"/>
          <w:color w:val="auto"/>
        </w:rPr>
        <w:t>歲以上未滿</w:t>
      </w:r>
      <w:r w:rsidRPr="00EB4364">
        <w:rPr>
          <w:rFonts w:hAnsi="標楷體" w:hint="eastAsia"/>
          <w:color w:val="auto"/>
        </w:rPr>
        <w:t>18</w:t>
      </w:r>
      <w:r w:rsidRPr="00EB4364">
        <w:rPr>
          <w:rFonts w:hAnsi="標楷體"/>
          <w:color w:val="auto"/>
        </w:rPr>
        <w:t>歲之人。</w:t>
      </w:r>
      <w:bookmarkEnd w:id="50"/>
      <w:bookmarkEnd w:id="51"/>
      <w:bookmarkEnd w:id="52"/>
      <w:bookmarkEnd w:id="53"/>
      <w:r w:rsidRPr="00EB4364">
        <w:rPr>
          <w:rFonts w:hAnsi="標楷體" w:hint="eastAsia"/>
          <w:color w:val="auto"/>
        </w:rPr>
        <w:t>聯合國兒童權利公約（Convention on the Rights of the Child，CRC）第1條揭示，</w:t>
      </w:r>
      <w:r w:rsidRPr="00EB4364">
        <w:rPr>
          <w:rFonts w:hAnsi="標楷體" w:hint="eastAsia"/>
          <w:color w:val="auto"/>
        </w:rPr>
        <w:lastRenderedPageBreak/>
        <w:t>兒童係指未滿18歲之人。</w:t>
      </w:r>
      <w:r w:rsidRPr="00EB4364">
        <w:rPr>
          <w:rFonts w:hAnsi="標楷體"/>
          <w:color w:val="auto"/>
        </w:rPr>
        <w:t>世界衛生組織(</w:t>
      </w:r>
      <w:r w:rsidRPr="00EB4364">
        <w:rPr>
          <w:rFonts w:hAnsi="標楷體"/>
          <w:color w:val="auto"/>
          <w:lang w:val="en"/>
        </w:rPr>
        <w:t>World Health Organization</w:t>
      </w:r>
      <w:r w:rsidRPr="00EB4364">
        <w:rPr>
          <w:rFonts w:hAnsi="標楷體"/>
          <w:color w:val="auto"/>
        </w:rPr>
        <w:t xml:space="preserve"> </w:t>
      </w:r>
      <w:r w:rsidRPr="00EB4364">
        <w:rPr>
          <w:rFonts w:hAnsi="標楷體" w:hint="eastAsia"/>
          <w:color w:val="auto"/>
        </w:rPr>
        <w:t>，下稱</w:t>
      </w:r>
      <w:r w:rsidRPr="00EB4364">
        <w:rPr>
          <w:rFonts w:hAnsi="標楷體"/>
          <w:color w:val="auto"/>
        </w:rPr>
        <w:t>WHO)青少年定義為10</w:t>
      </w:r>
      <w:r w:rsidRPr="00EB4364">
        <w:rPr>
          <w:rFonts w:hAnsi="標楷體" w:hint="eastAsia"/>
          <w:color w:val="auto"/>
        </w:rPr>
        <w:t>至</w:t>
      </w:r>
      <w:r w:rsidRPr="00EB4364">
        <w:rPr>
          <w:rFonts w:hAnsi="標楷體"/>
          <w:color w:val="auto"/>
        </w:rPr>
        <w:t>19歲</w:t>
      </w:r>
      <w:r w:rsidRPr="00EB4364">
        <w:rPr>
          <w:rStyle w:val="afc"/>
          <w:rFonts w:hAnsi="標楷體"/>
          <w:color w:val="auto"/>
        </w:rPr>
        <w:footnoteReference w:id="5"/>
      </w:r>
      <w:r w:rsidRPr="00EB4364">
        <w:rPr>
          <w:rFonts w:hAnsi="標楷體"/>
          <w:color w:val="auto"/>
        </w:rPr>
        <w:t>；</w:t>
      </w:r>
      <w:r w:rsidRPr="00EB4364">
        <w:rPr>
          <w:rFonts w:hAnsi="標楷體" w:hint="eastAsia"/>
          <w:color w:val="auto"/>
        </w:rPr>
        <w:t>次依</w:t>
      </w:r>
      <w:r w:rsidRPr="00EB4364">
        <w:rPr>
          <w:rFonts w:hAnsi="標楷體"/>
          <w:color w:val="auto"/>
        </w:rPr>
        <w:t>WHO</w:t>
      </w:r>
      <w:r w:rsidRPr="00EB4364">
        <w:rPr>
          <w:rFonts w:hAnsi="標楷體" w:hint="eastAsia"/>
          <w:color w:val="auto"/>
        </w:rPr>
        <w:t>2015年世界健康統計</w:t>
      </w:r>
      <w:r w:rsidRPr="00EB4364">
        <w:rPr>
          <w:rFonts w:hAnsi="標楷體"/>
          <w:color w:val="auto"/>
        </w:rPr>
        <w:t>資料顯示</w:t>
      </w:r>
      <w:r w:rsidRPr="00EB4364">
        <w:rPr>
          <w:rStyle w:val="afc"/>
          <w:rFonts w:hAnsi="標楷體"/>
          <w:color w:val="auto"/>
        </w:rPr>
        <w:footnoteReference w:id="6"/>
      </w:r>
      <w:r w:rsidRPr="00EB4364">
        <w:rPr>
          <w:rFonts w:hAnsi="標楷體"/>
          <w:color w:val="auto"/>
        </w:rPr>
        <w:t>，未成年少女生育係</w:t>
      </w:r>
      <w:r w:rsidRPr="00EB4364">
        <w:rPr>
          <w:rFonts w:hAnsi="標楷體" w:hint="eastAsia"/>
          <w:color w:val="auto"/>
        </w:rPr>
        <w:t>採</w:t>
      </w:r>
      <w:r w:rsidRPr="00EB4364">
        <w:rPr>
          <w:rFonts w:hAnsi="標楷體"/>
          <w:color w:val="auto"/>
        </w:rPr>
        <w:t>15</w:t>
      </w:r>
      <w:r w:rsidRPr="00EB4364">
        <w:rPr>
          <w:rFonts w:hAnsi="標楷體" w:hint="eastAsia"/>
          <w:color w:val="auto"/>
        </w:rPr>
        <w:t>至</w:t>
      </w:r>
      <w:r w:rsidRPr="00EB4364">
        <w:rPr>
          <w:rFonts w:hAnsi="標楷體"/>
          <w:color w:val="auto"/>
        </w:rPr>
        <w:t>19歲</w:t>
      </w:r>
      <w:r w:rsidRPr="00EB4364">
        <w:rPr>
          <w:rFonts w:hAnsi="標楷體" w:hint="eastAsia"/>
          <w:color w:val="auto"/>
        </w:rPr>
        <w:t>。</w:t>
      </w:r>
      <w:r w:rsidRPr="00EB4364">
        <w:rPr>
          <w:rFonts w:hAnsi="標楷體"/>
          <w:color w:val="auto"/>
        </w:rPr>
        <w:t xml:space="preserve"> </w:t>
      </w:r>
    </w:p>
    <w:p w:rsidR="00FE446D" w:rsidRPr="00EB4364" w:rsidRDefault="005078F8" w:rsidP="003B3119">
      <w:pPr>
        <w:pStyle w:val="3"/>
        <w:rPr>
          <w:rFonts w:hAnsi="標楷體"/>
          <w:color w:val="auto"/>
        </w:rPr>
      </w:pPr>
      <w:r w:rsidRPr="00EB4364">
        <w:rPr>
          <w:rFonts w:hAnsi="標楷體" w:hint="eastAsia"/>
          <w:color w:val="auto"/>
        </w:rPr>
        <w:t>據</w:t>
      </w:r>
      <w:r w:rsidR="00082C3C" w:rsidRPr="00EB4364">
        <w:rPr>
          <w:rFonts w:hAnsi="標楷體" w:hint="eastAsia"/>
          <w:color w:val="auto"/>
        </w:rPr>
        <w:t>內政部統計處資料，</w:t>
      </w:r>
      <w:r w:rsidR="0039575C" w:rsidRPr="00EB4364">
        <w:rPr>
          <w:rFonts w:hAnsi="標楷體" w:hint="eastAsia"/>
          <w:color w:val="auto"/>
        </w:rPr>
        <w:t>我國</w:t>
      </w:r>
      <w:r w:rsidR="00082C3C" w:rsidRPr="00EB4364">
        <w:rPr>
          <w:rFonts w:hAnsi="標楷體" w:hint="eastAsia"/>
          <w:color w:val="auto"/>
        </w:rPr>
        <w:t>近10年（95至105年）15歲至19歲的未成年</w:t>
      </w:r>
      <w:r w:rsidR="007C07A8" w:rsidRPr="00EB4364">
        <w:rPr>
          <w:rFonts w:hAnsi="標楷體" w:hint="eastAsia"/>
          <w:color w:val="auto"/>
        </w:rPr>
        <w:t>產母</w:t>
      </w:r>
      <w:r w:rsidR="00082C3C" w:rsidRPr="00EB4364">
        <w:rPr>
          <w:rFonts w:hAnsi="標楷體" w:hint="eastAsia"/>
          <w:color w:val="auto"/>
        </w:rPr>
        <w:t>每年約有3,000名，</w:t>
      </w:r>
      <w:r w:rsidR="00250DC7" w:rsidRPr="00EB4364">
        <w:rPr>
          <w:rFonts w:hAnsi="標楷體" w:hint="eastAsia"/>
          <w:color w:val="auto"/>
        </w:rPr>
        <w:t>各別</w:t>
      </w:r>
      <w:r w:rsidR="00CE46E7" w:rsidRPr="00EB4364">
        <w:rPr>
          <w:rFonts w:hAnsi="標楷體" w:hint="eastAsia"/>
          <w:color w:val="auto"/>
        </w:rPr>
        <w:t>對照</w:t>
      </w:r>
      <w:r w:rsidR="007C3C92" w:rsidRPr="00EB4364">
        <w:rPr>
          <w:rFonts w:hAnsi="標楷體" w:hint="eastAsia"/>
          <w:color w:val="auto"/>
        </w:rPr>
        <w:t>同</w:t>
      </w:r>
      <w:r w:rsidR="00250DC7" w:rsidRPr="00EB4364">
        <w:rPr>
          <w:rFonts w:hAnsi="標楷體" w:hint="eastAsia"/>
          <w:color w:val="auto"/>
        </w:rPr>
        <w:t>年度15歲至19歲女性人口總數</w:t>
      </w:r>
      <w:r w:rsidR="00250DC7" w:rsidRPr="00EB4364">
        <w:rPr>
          <w:rStyle w:val="afc"/>
          <w:rFonts w:hAnsi="標楷體"/>
          <w:color w:val="auto"/>
        </w:rPr>
        <w:footnoteReference w:id="7"/>
      </w:r>
      <w:r w:rsidR="00250DC7" w:rsidRPr="00EB4364">
        <w:rPr>
          <w:rFonts w:hAnsi="標楷體" w:hint="eastAsia"/>
          <w:color w:val="auto"/>
        </w:rPr>
        <w:t>，</w:t>
      </w:r>
      <w:r w:rsidR="003B3119" w:rsidRPr="00EB4364">
        <w:rPr>
          <w:rFonts w:hAnsi="標楷體" w:hint="eastAsia"/>
          <w:color w:val="auto"/>
        </w:rPr>
        <w:t>其等生育率情形，從95年6.62‰至99年3.63‰，雖呈下降趨勢，惟100年3.68‰、101年4.02‰、102年3.92‰、103年4.13‰、104年4.38‰至105年4.32‰，均無法有效下降。</w:t>
      </w:r>
      <w:r w:rsidR="00A51E90" w:rsidRPr="00EB4364">
        <w:rPr>
          <w:rFonts w:hAnsi="標楷體" w:hint="eastAsia"/>
          <w:color w:val="auto"/>
        </w:rPr>
        <w:t>次</w:t>
      </w:r>
      <w:r w:rsidRPr="00EB4364">
        <w:rPr>
          <w:rFonts w:hAnsi="標楷體" w:hint="eastAsia"/>
          <w:color w:val="auto"/>
        </w:rPr>
        <w:t>據</w:t>
      </w:r>
      <w:r w:rsidR="00FE446D" w:rsidRPr="00EB4364">
        <w:rPr>
          <w:rFonts w:hAnsi="標楷體" w:hint="eastAsia"/>
          <w:color w:val="auto"/>
        </w:rPr>
        <w:t>教育部函復</w:t>
      </w:r>
      <w:r w:rsidR="00FE446D" w:rsidRPr="00EB4364">
        <w:rPr>
          <w:rStyle w:val="afc"/>
          <w:rFonts w:hAnsi="標楷體"/>
          <w:color w:val="auto"/>
        </w:rPr>
        <w:footnoteReference w:id="8"/>
      </w:r>
      <w:r w:rsidR="00FE446D" w:rsidRPr="00EB4364">
        <w:rPr>
          <w:rFonts w:hAnsi="標楷體" w:hint="eastAsia"/>
          <w:color w:val="auto"/>
        </w:rPr>
        <w:t>本院表示，103</w:t>
      </w:r>
      <w:r w:rsidR="007C3C92" w:rsidRPr="00EB4364">
        <w:rPr>
          <w:rFonts w:hAnsi="標楷體" w:hint="eastAsia"/>
          <w:color w:val="auto"/>
        </w:rPr>
        <w:t>及</w:t>
      </w:r>
      <w:r w:rsidR="00FE446D" w:rsidRPr="00EB4364">
        <w:rPr>
          <w:rFonts w:hAnsi="標楷體" w:hint="eastAsia"/>
          <w:color w:val="auto"/>
        </w:rPr>
        <w:t>104學年度高級中等以下學校（含高中職及國中小）之在學未成年學生懷孕總人數</w:t>
      </w:r>
      <w:r w:rsidR="007C3C92" w:rsidRPr="00EB4364">
        <w:rPr>
          <w:rFonts w:hAnsi="標楷體" w:hint="eastAsia"/>
          <w:color w:val="auto"/>
        </w:rPr>
        <w:t>，</w:t>
      </w:r>
      <w:r w:rsidR="00FE446D" w:rsidRPr="00EB4364">
        <w:rPr>
          <w:rFonts w:hAnsi="標楷體" w:hint="eastAsia"/>
          <w:color w:val="auto"/>
        </w:rPr>
        <w:t>分別為411人</w:t>
      </w:r>
      <w:r w:rsidR="007C3C92" w:rsidRPr="00EB4364">
        <w:rPr>
          <w:rFonts w:hAnsi="標楷體" w:hint="eastAsia"/>
          <w:color w:val="auto"/>
        </w:rPr>
        <w:t>及</w:t>
      </w:r>
      <w:r w:rsidR="00FE446D" w:rsidRPr="00EB4364">
        <w:rPr>
          <w:rFonts w:hAnsi="標楷體" w:hint="eastAsia"/>
          <w:color w:val="auto"/>
        </w:rPr>
        <w:t>368人；</w:t>
      </w:r>
      <w:r w:rsidR="003B3119" w:rsidRPr="00EB4364">
        <w:rPr>
          <w:rFonts w:hAnsi="標楷體" w:hint="eastAsia"/>
          <w:color w:val="auto"/>
        </w:rPr>
        <w:t>然</w:t>
      </w:r>
      <w:r w:rsidR="00FE446D" w:rsidRPr="00EB4364">
        <w:rPr>
          <w:rFonts w:hAnsi="標楷體" w:hint="eastAsia"/>
          <w:color w:val="auto"/>
        </w:rPr>
        <w:t>依衛福部函復</w:t>
      </w:r>
      <w:r w:rsidR="00FE446D" w:rsidRPr="00EB4364">
        <w:rPr>
          <w:rStyle w:val="afc"/>
          <w:rFonts w:hAnsi="標楷體"/>
          <w:color w:val="auto"/>
        </w:rPr>
        <w:footnoteReference w:id="9"/>
      </w:r>
      <w:r w:rsidR="00FE446D" w:rsidRPr="00EB4364">
        <w:rPr>
          <w:rFonts w:hAnsi="標楷體" w:hint="eastAsia"/>
          <w:color w:val="auto"/>
        </w:rPr>
        <w:t>本院資料統計，103</w:t>
      </w:r>
      <w:r w:rsidR="001E615C" w:rsidRPr="00EB4364">
        <w:rPr>
          <w:rFonts w:hAnsi="標楷體" w:hint="eastAsia"/>
          <w:color w:val="auto"/>
        </w:rPr>
        <w:t>及</w:t>
      </w:r>
      <w:r w:rsidR="00FE446D" w:rsidRPr="00EB4364">
        <w:rPr>
          <w:rFonts w:hAnsi="標楷體" w:hint="eastAsia"/>
          <w:color w:val="auto"/>
        </w:rPr>
        <w:t>104年度由學校為來源轉介之未成年</w:t>
      </w:r>
      <w:r w:rsidR="00081CB5" w:rsidRPr="00EB4364">
        <w:rPr>
          <w:rFonts w:hAnsi="標楷體" w:hint="eastAsia"/>
          <w:color w:val="auto"/>
        </w:rPr>
        <w:t>少女</w:t>
      </w:r>
      <w:r w:rsidR="00FE446D" w:rsidRPr="00EB4364">
        <w:rPr>
          <w:rFonts w:hAnsi="標楷體" w:hint="eastAsia"/>
          <w:color w:val="auto"/>
        </w:rPr>
        <w:t>懷孕人數分別為63人</w:t>
      </w:r>
      <w:r w:rsidR="001E615C" w:rsidRPr="00EB4364">
        <w:rPr>
          <w:rFonts w:hAnsi="標楷體" w:hint="eastAsia"/>
          <w:color w:val="auto"/>
        </w:rPr>
        <w:t>及</w:t>
      </w:r>
      <w:r w:rsidR="00FE446D" w:rsidRPr="00EB4364">
        <w:rPr>
          <w:rFonts w:hAnsi="標楷體" w:hint="eastAsia"/>
          <w:color w:val="auto"/>
        </w:rPr>
        <w:t>114人</w:t>
      </w:r>
      <w:r w:rsidR="001E615C" w:rsidRPr="00EB4364">
        <w:rPr>
          <w:rFonts w:hAnsi="標楷體" w:hint="eastAsia"/>
          <w:color w:val="auto"/>
        </w:rPr>
        <w:t>，顯有差距；</w:t>
      </w:r>
      <w:r w:rsidR="00FE446D" w:rsidRPr="00EB4364">
        <w:rPr>
          <w:rFonts w:hAnsi="標楷體" w:hint="eastAsia"/>
          <w:color w:val="auto"/>
        </w:rPr>
        <w:t>縱兩機關採不同之統計基期（衛福部以年度統計、教育部係以學年度統計），統計人數誤差之高，</w:t>
      </w:r>
      <w:r w:rsidR="001E615C" w:rsidRPr="00EB4364">
        <w:rPr>
          <w:rFonts w:hAnsi="標楷體" w:hint="eastAsia"/>
          <w:color w:val="auto"/>
        </w:rPr>
        <w:t>足徵兩機關</w:t>
      </w:r>
      <w:r w:rsidR="00FE446D" w:rsidRPr="00EB4364">
        <w:rPr>
          <w:rFonts w:hAnsi="標楷體" w:hint="eastAsia"/>
          <w:color w:val="auto"/>
        </w:rPr>
        <w:t>均未能有效建立未成年</w:t>
      </w:r>
      <w:r w:rsidR="00081CB5" w:rsidRPr="00EB4364">
        <w:rPr>
          <w:rFonts w:hAnsi="標楷體" w:hint="eastAsia"/>
          <w:color w:val="auto"/>
        </w:rPr>
        <w:t>少女</w:t>
      </w:r>
      <w:r w:rsidR="00FE446D" w:rsidRPr="00EB4364">
        <w:rPr>
          <w:rFonts w:hAnsi="標楷體" w:hint="eastAsia"/>
          <w:color w:val="auto"/>
        </w:rPr>
        <w:t>懷孕人數之勾稽比對機制，且嚴重缺乏整合平台。</w:t>
      </w:r>
    </w:p>
    <w:p w:rsidR="005078F8" w:rsidRPr="00EB4364" w:rsidRDefault="00FE446D" w:rsidP="005078F8">
      <w:pPr>
        <w:pStyle w:val="3"/>
        <w:rPr>
          <w:rFonts w:hAnsi="標楷體"/>
          <w:b/>
          <w:color w:val="auto"/>
        </w:rPr>
      </w:pPr>
      <w:r w:rsidRPr="00EB4364">
        <w:rPr>
          <w:rFonts w:hAnsi="標楷體" w:hint="eastAsia"/>
          <w:color w:val="auto"/>
        </w:rPr>
        <w:t>此外，衛福部下設國民健康署</w:t>
      </w:r>
      <w:r w:rsidR="001E615C" w:rsidRPr="00EB4364">
        <w:rPr>
          <w:rFonts w:hAnsi="標楷體" w:hint="eastAsia"/>
          <w:color w:val="auto"/>
        </w:rPr>
        <w:t>（下稱</w:t>
      </w:r>
      <w:r w:rsidR="00261657" w:rsidRPr="00EB4364">
        <w:rPr>
          <w:rFonts w:hAnsi="標楷體" w:hint="eastAsia"/>
          <w:color w:val="auto"/>
        </w:rPr>
        <w:t>衛福部</w:t>
      </w:r>
      <w:r w:rsidR="001E615C" w:rsidRPr="00EB4364">
        <w:rPr>
          <w:rFonts w:hAnsi="標楷體" w:hint="eastAsia"/>
          <w:color w:val="auto"/>
        </w:rPr>
        <w:t>國健署）</w:t>
      </w:r>
      <w:r w:rsidRPr="00EB4364">
        <w:rPr>
          <w:rFonts w:hAnsi="標楷體" w:hint="eastAsia"/>
          <w:color w:val="auto"/>
        </w:rPr>
        <w:t>、社會及家庭署</w:t>
      </w:r>
      <w:r w:rsidR="001E615C" w:rsidRPr="00EB4364">
        <w:rPr>
          <w:rFonts w:hAnsi="標楷體" w:hint="eastAsia"/>
          <w:color w:val="auto"/>
        </w:rPr>
        <w:t>（下稱</w:t>
      </w:r>
      <w:r w:rsidR="00261657" w:rsidRPr="00EB4364">
        <w:rPr>
          <w:rFonts w:hAnsi="標楷體" w:hint="eastAsia"/>
          <w:color w:val="auto"/>
        </w:rPr>
        <w:t>衛福部</w:t>
      </w:r>
      <w:r w:rsidR="001E615C" w:rsidRPr="00EB4364">
        <w:rPr>
          <w:rFonts w:hAnsi="標楷體" w:hint="eastAsia"/>
          <w:color w:val="auto"/>
        </w:rPr>
        <w:t>社家署）及</w:t>
      </w:r>
      <w:r w:rsidRPr="00EB4364">
        <w:rPr>
          <w:rFonts w:hAnsi="標楷體" w:hint="eastAsia"/>
          <w:color w:val="auto"/>
        </w:rPr>
        <w:t>疾病管制署</w:t>
      </w:r>
      <w:r w:rsidR="001E615C" w:rsidRPr="00EB4364">
        <w:rPr>
          <w:rFonts w:hAnsi="標楷體" w:hint="eastAsia"/>
          <w:color w:val="auto"/>
        </w:rPr>
        <w:t>等</w:t>
      </w:r>
      <w:r w:rsidRPr="00EB4364">
        <w:rPr>
          <w:rFonts w:hAnsi="標楷體" w:hint="eastAsia"/>
          <w:color w:val="auto"/>
        </w:rPr>
        <w:t>，為掌管全國婦女生育健康、醫療及福利之政策規劃、管理機關，對於未成年少女懷孕之相關數據應確實掌握，惟該部</w:t>
      </w:r>
      <w:r w:rsidR="00784A36" w:rsidRPr="00EB4364">
        <w:rPr>
          <w:rFonts w:hAnsi="標楷體" w:hint="eastAsia"/>
          <w:color w:val="auto"/>
        </w:rPr>
        <w:t>104年「高中、高職、五專學生健康行為調查」</w:t>
      </w:r>
      <w:r w:rsidR="000B2504" w:rsidRPr="00EB4364">
        <w:rPr>
          <w:rFonts w:hAnsi="標楷體" w:hint="eastAsia"/>
          <w:color w:val="auto"/>
        </w:rPr>
        <w:t>推估青少女曾懷孕人數為3,149人</w:t>
      </w:r>
      <w:r w:rsidR="000B2504" w:rsidRPr="00EB4364">
        <w:rPr>
          <w:rFonts w:hAnsi="標楷體" w:hint="eastAsia"/>
          <w:color w:val="auto"/>
        </w:rPr>
        <w:lastRenderedPageBreak/>
        <w:t>（0.8%）、曾墮胎人數為2,585人（0.6%），該調查之曾懷孕人數甚</w:t>
      </w:r>
      <w:r w:rsidR="003905B3" w:rsidRPr="00EB4364">
        <w:rPr>
          <w:rFonts w:hAnsi="標楷體" w:hint="eastAsia"/>
          <w:color w:val="auto"/>
        </w:rPr>
        <w:t>至</w:t>
      </w:r>
      <w:r w:rsidR="000B2504" w:rsidRPr="00EB4364">
        <w:rPr>
          <w:rFonts w:hAnsi="標楷體" w:hint="eastAsia"/>
          <w:color w:val="auto"/>
        </w:rPr>
        <w:t>低於該年度內政部統計15歲至19歲未成年</w:t>
      </w:r>
      <w:r w:rsidR="00081CB5" w:rsidRPr="00EB4364">
        <w:rPr>
          <w:rFonts w:hAnsi="標楷體" w:hint="eastAsia"/>
          <w:color w:val="auto"/>
        </w:rPr>
        <w:t>少女</w:t>
      </w:r>
      <w:r w:rsidR="000B2504" w:rsidRPr="00EB4364">
        <w:rPr>
          <w:rFonts w:hAnsi="標楷體" w:hint="eastAsia"/>
          <w:color w:val="auto"/>
        </w:rPr>
        <w:t>懷孕生子人數3,167人，</w:t>
      </w:r>
      <w:r w:rsidR="00306504" w:rsidRPr="00EB4364">
        <w:rPr>
          <w:rFonts w:hAnsi="標楷體" w:hint="eastAsia"/>
          <w:color w:val="auto"/>
        </w:rPr>
        <w:t>顯不合理，</w:t>
      </w:r>
      <w:r w:rsidR="000B2504" w:rsidRPr="00EB4364">
        <w:rPr>
          <w:rFonts w:hAnsi="標楷體" w:hint="eastAsia"/>
          <w:color w:val="auto"/>
        </w:rPr>
        <w:t>且就其所推估之曾墮胎人數除以曾懷孕人數亦無法</w:t>
      </w:r>
      <w:r w:rsidR="00232C45" w:rsidRPr="00EB4364">
        <w:rPr>
          <w:rFonts w:hAnsi="標楷體" w:hint="eastAsia"/>
          <w:color w:val="auto"/>
        </w:rPr>
        <w:t>相互</w:t>
      </w:r>
      <w:r w:rsidR="000B2504" w:rsidRPr="00EB4364">
        <w:rPr>
          <w:rFonts w:hAnsi="標楷體" w:hint="eastAsia"/>
          <w:color w:val="auto"/>
        </w:rPr>
        <w:t>勾稽，</w:t>
      </w:r>
      <w:r w:rsidR="00232C45" w:rsidRPr="00EB4364">
        <w:rPr>
          <w:rFonts w:hAnsi="標楷體" w:hint="eastAsia"/>
          <w:color w:val="auto"/>
        </w:rPr>
        <w:t>殊難謂有可信度</w:t>
      </w:r>
      <w:r w:rsidR="00A51E90" w:rsidRPr="00EB4364">
        <w:rPr>
          <w:rFonts w:hAnsi="標楷體" w:hint="eastAsia"/>
          <w:color w:val="auto"/>
        </w:rPr>
        <w:t>；嗣該部於本院詢問未成年中止懷孕人數時，以「</w:t>
      </w:r>
      <w:r w:rsidR="00A51E90" w:rsidRPr="00EB4364">
        <w:rPr>
          <w:rFonts w:hAnsi="標楷體"/>
          <w:color w:val="auto"/>
        </w:rPr>
        <w:t>……</w:t>
      </w:r>
      <w:r w:rsidR="00A51E90" w:rsidRPr="00EB4364">
        <w:rPr>
          <w:rFonts w:hAnsi="標楷體" w:hint="eastAsia"/>
          <w:color w:val="auto"/>
        </w:rPr>
        <w:t>由醫院申報只有調劑使用RU486之數量，無使用者年齡</w:t>
      </w:r>
      <w:r w:rsidR="00A51E90" w:rsidRPr="00EB4364">
        <w:rPr>
          <w:rFonts w:hAnsi="標楷體"/>
          <w:color w:val="auto"/>
        </w:rPr>
        <w:t>……</w:t>
      </w:r>
      <w:r w:rsidR="00A51E90" w:rsidRPr="00EB4364">
        <w:rPr>
          <w:rFonts w:hAnsi="標楷體" w:hint="eastAsia"/>
          <w:color w:val="auto"/>
        </w:rPr>
        <w:t>」為由，怠於統計未成年</w:t>
      </w:r>
      <w:r w:rsidR="000E2CFD" w:rsidRPr="00EB4364">
        <w:rPr>
          <w:rFonts w:hAnsi="標楷體" w:hint="eastAsia"/>
          <w:color w:val="auto"/>
        </w:rPr>
        <w:t>少女</w:t>
      </w:r>
      <w:r w:rsidR="00A51E90" w:rsidRPr="00EB4364">
        <w:rPr>
          <w:rFonts w:hAnsi="標楷體" w:hint="eastAsia"/>
          <w:color w:val="auto"/>
        </w:rPr>
        <w:t>中止懷孕數，</w:t>
      </w:r>
      <w:r w:rsidR="005078F8" w:rsidRPr="00EB4364">
        <w:rPr>
          <w:rFonts w:hAnsi="標楷體" w:hint="eastAsia"/>
          <w:color w:val="auto"/>
        </w:rPr>
        <w:t>然</w:t>
      </w:r>
      <w:r w:rsidR="00A51E90" w:rsidRPr="00EB4364">
        <w:rPr>
          <w:rFonts w:hAnsi="標楷體" w:hint="eastAsia"/>
          <w:color w:val="auto"/>
        </w:rPr>
        <w:t>縱健保資料庫無</w:t>
      </w:r>
      <w:r w:rsidR="00A51E90" w:rsidRPr="00EB4364">
        <w:rPr>
          <w:rFonts w:hAnsi="標楷體"/>
          <w:color w:val="auto"/>
        </w:rPr>
        <w:t>RU486</w:t>
      </w:r>
      <w:r w:rsidR="00A51E90" w:rsidRPr="00EB4364">
        <w:rPr>
          <w:rFonts w:hAnsi="標楷體" w:hint="eastAsia"/>
          <w:color w:val="auto"/>
        </w:rPr>
        <w:t>成分藥品之使用資料可統計，該部亦可從病歷統計相關用藥情形，</w:t>
      </w:r>
      <w:r w:rsidR="005078F8" w:rsidRPr="00EB4364">
        <w:rPr>
          <w:rFonts w:hAnsi="標楷體" w:hint="eastAsia"/>
          <w:color w:val="auto"/>
        </w:rPr>
        <w:t>基此，該部似有便宜行事，</w:t>
      </w:r>
      <w:r w:rsidR="00C249AF" w:rsidRPr="00EB4364">
        <w:rPr>
          <w:rFonts w:hAnsi="標楷體" w:hint="eastAsia"/>
          <w:color w:val="auto"/>
        </w:rPr>
        <w:t>因循敷衍，</w:t>
      </w:r>
      <w:r w:rsidR="005078F8" w:rsidRPr="00EB4364">
        <w:rPr>
          <w:rFonts w:hAnsi="標楷體" w:hint="eastAsia"/>
          <w:color w:val="auto"/>
        </w:rPr>
        <w:t>難辭執行不力之咎。</w:t>
      </w:r>
    </w:p>
    <w:p w:rsidR="00940867" w:rsidRPr="00EB4364" w:rsidRDefault="006A7C5F" w:rsidP="004B39EE">
      <w:pPr>
        <w:pStyle w:val="3"/>
        <w:rPr>
          <w:color w:val="auto"/>
        </w:rPr>
      </w:pPr>
      <w:r w:rsidRPr="00EB4364">
        <w:rPr>
          <w:rFonts w:hint="eastAsia"/>
          <w:color w:val="auto"/>
        </w:rPr>
        <w:t>教育部自99年起</w:t>
      </w:r>
      <w:r w:rsidR="00AB6C2F" w:rsidRPr="00EB4364">
        <w:rPr>
          <w:rFonts w:hint="eastAsia"/>
          <w:color w:val="auto"/>
        </w:rPr>
        <w:t>依據「學生懷孕受教權維護及輔導協助要點」，彙整各地方政府學校知悉懷孕學生案件數之統計</w:t>
      </w:r>
      <w:r w:rsidRPr="00EB4364">
        <w:rPr>
          <w:rFonts w:hint="eastAsia"/>
          <w:color w:val="auto"/>
        </w:rPr>
        <w:t>，據該</w:t>
      </w:r>
      <w:r w:rsidR="000E2CFD" w:rsidRPr="00EB4364">
        <w:rPr>
          <w:rFonts w:hint="eastAsia"/>
          <w:color w:val="auto"/>
        </w:rPr>
        <w:t>部統計100學年度至104學年度學生懷孕事件，當中僅102學年度無國小女童懷孕之數據，其餘學年度均有國小女童懷孕之</w:t>
      </w:r>
      <w:r w:rsidR="0047461E" w:rsidRPr="00EB4364">
        <w:rPr>
          <w:rFonts w:hint="eastAsia"/>
          <w:color w:val="auto"/>
        </w:rPr>
        <w:t>數據</w:t>
      </w:r>
      <w:r w:rsidR="000E2CFD" w:rsidRPr="00EB4364">
        <w:rPr>
          <w:rFonts w:hint="eastAsia"/>
          <w:color w:val="auto"/>
        </w:rPr>
        <w:t>（1至3案），而100學年度竟有高達22名國小女童懷孕之</w:t>
      </w:r>
      <w:r w:rsidR="0047461E" w:rsidRPr="00EB4364">
        <w:rPr>
          <w:rFonts w:hint="eastAsia"/>
          <w:color w:val="auto"/>
        </w:rPr>
        <w:t>數據</w:t>
      </w:r>
      <w:r w:rsidR="000E2CFD" w:rsidRPr="00EB4364">
        <w:rPr>
          <w:rFonts w:hint="eastAsia"/>
          <w:color w:val="auto"/>
        </w:rPr>
        <w:t>，</w:t>
      </w:r>
      <w:r w:rsidR="00940867" w:rsidRPr="00EB4364">
        <w:rPr>
          <w:rFonts w:hint="eastAsia"/>
          <w:color w:val="auto"/>
        </w:rPr>
        <w:t>且此22個案</w:t>
      </w:r>
      <w:r w:rsidR="00940867" w:rsidRPr="00EB4364">
        <w:rPr>
          <w:rFonts w:hAnsi="標楷體" w:hint="eastAsia"/>
          <w:color w:val="auto"/>
        </w:rPr>
        <w:t>均係由高雄市政府教育局</w:t>
      </w:r>
      <w:r w:rsidRPr="00EB4364">
        <w:rPr>
          <w:rFonts w:hAnsi="標楷體" w:hint="eastAsia"/>
          <w:color w:val="auto"/>
        </w:rPr>
        <w:t>所</w:t>
      </w:r>
      <w:r w:rsidR="00940867" w:rsidRPr="00EB4364">
        <w:rPr>
          <w:rFonts w:hAnsi="標楷體" w:hint="eastAsia"/>
          <w:color w:val="auto"/>
        </w:rPr>
        <w:t>彙填，</w:t>
      </w:r>
      <w:r w:rsidR="000E2CFD" w:rsidRPr="00EB4364">
        <w:rPr>
          <w:rFonts w:hint="eastAsia"/>
          <w:color w:val="auto"/>
        </w:rPr>
        <w:t>數據</w:t>
      </w:r>
      <w:r w:rsidR="00940867" w:rsidRPr="00EB4364">
        <w:rPr>
          <w:rFonts w:hint="eastAsia"/>
          <w:color w:val="auto"/>
        </w:rPr>
        <w:t>統計</w:t>
      </w:r>
      <w:r w:rsidR="009C4AB3" w:rsidRPr="00EB4364">
        <w:rPr>
          <w:rFonts w:hint="eastAsia"/>
          <w:color w:val="auto"/>
        </w:rPr>
        <w:t>洵</w:t>
      </w:r>
      <w:r w:rsidR="00940867" w:rsidRPr="00EB4364">
        <w:rPr>
          <w:rFonts w:hint="eastAsia"/>
          <w:color w:val="auto"/>
        </w:rPr>
        <w:t>有可議</w:t>
      </w:r>
      <w:r w:rsidR="002D5C2B" w:rsidRPr="00EB4364">
        <w:rPr>
          <w:rFonts w:hint="eastAsia"/>
          <w:color w:val="auto"/>
        </w:rPr>
        <w:t>偏頗</w:t>
      </w:r>
      <w:r w:rsidR="00940867" w:rsidRPr="00EB4364">
        <w:rPr>
          <w:rFonts w:hint="eastAsia"/>
          <w:color w:val="auto"/>
        </w:rPr>
        <w:t>之處</w:t>
      </w:r>
      <w:r w:rsidRPr="00EB4364">
        <w:rPr>
          <w:rFonts w:hint="eastAsia"/>
          <w:color w:val="auto"/>
        </w:rPr>
        <w:t>，該部</w:t>
      </w:r>
      <w:r w:rsidR="0047461E" w:rsidRPr="00EB4364">
        <w:rPr>
          <w:rFonts w:hint="eastAsia"/>
          <w:color w:val="auto"/>
        </w:rPr>
        <w:t>卻</w:t>
      </w:r>
      <w:r w:rsidR="004B39EE" w:rsidRPr="00EB4364">
        <w:rPr>
          <w:rFonts w:hint="eastAsia"/>
          <w:color w:val="auto"/>
        </w:rPr>
        <w:t>未能</w:t>
      </w:r>
      <w:r w:rsidR="00A3288B" w:rsidRPr="00EB4364">
        <w:rPr>
          <w:rFonts w:hint="eastAsia"/>
          <w:color w:val="auto"/>
        </w:rPr>
        <w:t>切實</w:t>
      </w:r>
      <w:r w:rsidR="0047461E" w:rsidRPr="00EB4364">
        <w:rPr>
          <w:rFonts w:hint="eastAsia"/>
          <w:color w:val="auto"/>
        </w:rPr>
        <w:t>查核</w:t>
      </w:r>
      <w:r w:rsidR="00A3288B" w:rsidRPr="00EB4364">
        <w:rPr>
          <w:rFonts w:hint="eastAsia"/>
          <w:color w:val="auto"/>
        </w:rPr>
        <w:t>並</w:t>
      </w:r>
      <w:r w:rsidR="0073749D" w:rsidRPr="00EB4364">
        <w:rPr>
          <w:rFonts w:hint="eastAsia"/>
          <w:color w:val="auto"/>
        </w:rPr>
        <w:t>分析問題</w:t>
      </w:r>
      <w:r w:rsidR="004B39EE" w:rsidRPr="00EB4364">
        <w:rPr>
          <w:rFonts w:hint="eastAsia"/>
          <w:color w:val="auto"/>
        </w:rPr>
        <w:t>，</w:t>
      </w:r>
      <w:r w:rsidR="004C3D00" w:rsidRPr="00EB4364">
        <w:rPr>
          <w:rFonts w:hint="eastAsia"/>
          <w:color w:val="auto"/>
        </w:rPr>
        <w:t>致相關統計</w:t>
      </w:r>
      <w:r w:rsidR="0073749D" w:rsidRPr="00EB4364">
        <w:rPr>
          <w:rFonts w:hint="eastAsia"/>
          <w:color w:val="auto"/>
        </w:rPr>
        <w:t>徒具形式</w:t>
      </w:r>
      <w:r w:rsidR="00940867" w:rsidRPr="00EB4364">
        <w:rPr>
          <w:rFonts w:hint="eastAsia"/>
          <w:color w:val="auto"/>
        </w:rPr>
        <w:t>，自難推諉謂無疏失。</w:t>
      </w:r>
    </w:p>
    <w:p w:rsidR="00AE212C" w:rsidRPr="00EB4364" w:rsidRDefault="00FE446D" w:rsidP="00FE446D">
      <w:pPr>
        <w:pStyle w:val="3"/>
        <w:rPr>
          <w:rFonts w:hAnsi="標楷體"/>
          <w:color w:val="auto"/>
        </w:rPr>
      </w:pPr>
      <w:r w:rsidRPr="00EB4364">
        <w:rPr>
          <w:rFonts w:hAnsi="標楷體" w:hint="eastAsia"/>
          <w:color w:val="auto"/>
        </w:rPr>
        <w:t>本院於105年4月13日詢問教育部國教署</w:t>
      </w:r>
      <w:r w:rsidR="005078F8" w:rsidRPr="00EB4364">
        <w:rPr>
          <w:rFonts w:hAnsi="標楷體" w:hint="eastAsia"/>
          <w:color w:val="auto"/>
        </w:rPr>
        <w:t>及衛福部相關主管人員</w:t>
      </w:r>
      <w:r w:rsidRPr="00EB4364">
        <w:rPr>
          <w:rFonts w:hAnsi="標楷體" w:hint="eastAsia"/>
          <w:color w:val="auto"/>
        </w:rPr>
        <w:t>，</w:t>
      </w:r>
      <w:r w:rsidR="005078F8" w:rsidRPr="00EB4364">
        <w:rPr>
          <w:rFonts w:hAnsi="標楷體" w:hint="eastAsia"/>
          <w:color w:val="auto"/>
        </w:rPr>
        <w:t>教育部國教署</w:t>
      </w:r>
      <w:r w:rsidRPr="00EB4364">
        <w:rPr>
          <w:rFonts w:hAnsi="標楷體" w:hint="eastAsia"/>
          <w:color w:val="auto"/>
        </w:rPr>
        <w:t>邱乾國署長坦言：「本部可以針對以下改進：第一、教育部掌握懷孕學生數據、衛福部掌握懷孕出養留養及轉介服務之數據，這些基礎數據需要跨部會合作，勾稽比對後，提供轉介服務；第二、衛福部的數據比我們大，我們可以先從衛福部的資料比對國教署的資料，以瞭解是否確實提供有需要的孩子協助」等語；衛福部呂寶靜次長於</w:t>
      </w:r>
      <w:r w:rsidR="003B189E" w:rsidRPr="00EB4364">
        <w:rPr>
          <w:rFonts w:hAnsi="標楷體" w:hint="eastAsia"/>
          <w:color w:val="auto"/>
        </w:rPr>
        <w:t>同日</w:t>
      </w:r>
      <w:r w:rsidRPr="00EB4364">
        <w:rPr>
          <w:rFonts w:hAnsi="標楷體" w:hint="eastAsia"/>
          <w:color w:val="auto"/>
        </w:rPr>
        <w:t>接受本院詢問時稱：「目前已在盤整社會安全網，系統跟整合有更多地方需強化</w:t>
      </w:r>
      <w:r w:rsidR="005078F8" w:rsidRPr="00EB4364">
        <w:rPr>
          <w:rFonts w:hAnsi="標楷體"/>
          <w:color w:val="auto"/>
        </w:rPr>
        <w:t>……</w:t>
      </w:r>
      <w:r w:rsidRPr="00EB4364">
        <w:rPr>
          <w:rFonts w:hAnsi="標楷體" w:hint="eastAsia"/>
          <w:color w:val="auto"/>
        </w:rPr>
        <w:t>」</w:t>
      </w:r>
      <w:r w:rsidR="005078F8" w:rsidRPr="00EB4364">
        <w:rPr>
          <w:rFonts w:hAnsi="標楷體" w:hint="eastAsia"/>
          <w:color w:val="auto"/>
        </w:rPr>
        <w:t>，足</w:t>
      </w:r>
      <w:r w:rsidR="005078F8" w:rsidRPr="00EB4364">
        <w:rPr>
          <w:rFonts w:hAnsi="標楷體" w:hint="eastAsia"/>
          <w:color w:val="auto"/>
        </w:rPr>
        <w:lastRenderedPageBreak/>
        <w:t>證各該權責機關主管人員對未成年</w:t>
      </w:r>
      <w:r w:rsidR="00081CB5" w:rsidRPr="00EB4364">
        <w:rPr>
          <w:rFonts w:hAnsi="標楷體" w:hint="eastAsia"/>
          <w:color w:val="auto"/>
        </w:rPr>
        <w:t>少女</w:t>
      </w:r>
      <w:r w:rsidR="005078F8" w:rsidRPr="00EB4364">
        <w:rPr>
          <w:rFonts w:hAnsi="標楷體" w:hint="eastAsia"/>
          <w:color w:val="auto"/>
        </w:rPr>
        <w:t>懷孕問題之癥結及疏失均有認識</w:t>
      </w:r>
      <w:r w:rsidR="00AE212C" w:rsidRPr="00EB4364">
        <w:rPr>
          <w:rFonts w:hAnsi="標楷體" w:hint="eastAsia"/>
          <w:color w:val="auto"/>
        </w:rPr>
        <w:t>，</w:t>
      </w:r>
      <w:r w:rsidR="003523FA" w:rsidRPr="00EB4364">
        <w:rPr>
          <w:rFonts w:hAnsi="標楷體" w:hint="eastAsia"/>
          <w:color w:val="auto"/>
        </w:rPr>
        <w:t>俟</w:t>
      </w:r>
      <w:r w:rsidR="00AE212C" w:rsidRPr="00EB4364">
        <w:rPr>
          <w:rFonts w:hAnsi="標楷體" w:hint="eastAsia"/>
          <w:color w:val="auto"/>
        </w:rPr>
        <w:t>本院詢問其等預防未成年</w:t>
      </w:r>
      <w:r w:rsidR="00081CB5" w:rsidRPr="00EB4364">
        <w:rPr>
          <w:rFonts w:hAnsi="標楷體" w:hint="eastAsia"/>
          <w:color w:val="auto"/>
        </w:rPr>
        <w:t>少女</w:t>
      </w:r>
      <w:r w:rsidR="00AE212C" w:rsidRPr="00EB4364">
        <w:rPr>
          <w:rFonts w:hAnsi="標楷體" w:hint="eastAsia"/>
          <w:color w:val="auto"/>
        </w:rPr>
        <w:t>懷孕之關鍵績效指標（KPI）</w:t>
      </w:r>
      <w:r w:rsidR="00B63E4D" w:rsidRPr="00EB4364">
        <w:rPr>
          <w:rFonts w:hAnsi="標楷體" w:hint="eastAsia"/>
          <w:color w:val="auto"/>
        </w:rPr>
        <w:t>時</w:t>
      </w:r>
      <w:r w:rsidR="00AE212C" w:rsidRPr="00EB4364">
        <w:rPr>
          <w:rFonts w:hAnsi="標楷體" w:hint="eastAsia"/>
          <w:color w:val="auto"/>
        </w:rPr>
        <w:t>，衛福部雖提出降低「各鄉鎮地區15至19歲青少女生育率」及「已生育未成年少女避孕管理率」2項新訂指標，但皆尚未有具體成效，而教育部則是無訂定相關指標，</w:t>
      </w:r>
      <w:r w:rsidR="003523FA" w:rsidRPr="00EB4364">
        <w:rPr>
          <w:rFonts w:hAnsi="標楷體" w:hint="eastAsia"/>
          <w:color w:val="auto"/>
        </w:rPr>
        <w:t>對未成年</w:t>
      </w:r>
      <w:r w:rsidR="00081CB5" w:rsidRPr="00EB4364">
        <w:rPr>
          <w:rFonts w:hAnsi="標楷體" w:hint="eastAsia"/>
          <w:color w:val="auto"/>
        </w:rPr>
        <w:t>少女</w:t>
      </w:r>
      <w:r w:rsidR="003523FA" w:rsidRPr="00EB4364">
        <w:rPr>
          <w:rFonts w:hAnsi="標楷體" w:hint="eastAsia"/>
          <w:color w:val="auto"/>
        </w:rPr>
        <w:t>懷孕之預防，</w:t>
      </w:r>
      <w:r w:rsidR="00AE212C" w:rsidRPr="00EB4364">
        <w:rPr>
          <w:rFonts w:hAnsi="標楷體" w:hint="eastAsia"/>
          <w:color w:val="auto"/>
        </w:rPr>
        <w:t>容有未洽。</w:t>
      </w:r>
    </w:p>
    <w:p w:rsidR="00FE446D" w:rsidRPr="00EB4364" w:rsidRDefault="00FE446D" w:rsidP="00FE446D">
      <w:pPr>
        <w:pStyle w:val="3"/>
        <w:rPr>
          <w:rFonts w:hAnsi="標楷體"/>
          <w:color w:val="auto"/>
        </w:rPr>
      </w:pPr>
      <w:r w:rsidRPr="00EB4364">
        <w:rPr>
          <w:rFonts w:hAnsi="標楷體" w:hint="eastAsia"/>
          <w:color w:val="auto"/>
        </w:rPr>
        <w:t>綜上，</w:t>
      </w:r>
      <w:r w:rsidR="0042721F" w:rsidRPr="00EB4364">
        <w:rPr>
          <w:rFonts w:hAnsi="標楷體" w:hint="eastAsia"/>
          <w:color w:val="auto"/>
        </w:rPr>
        <w:t>衛福部及教育部均未能確實掌握未成年少女懷孕人數情形，亦無建立相關勾稽比對機制，跨部會間之服務資源缺乏整合平台及關鍵績效指標，致政府對未成年少女懷孕問題與現實嚴重脫節，</w:t>
      </w:r>
      <w:r w:rsidR="00385F26" w:rsidRPr="00EB4364">
        <w:rPr>
          <w:rFonts w:hAnsi="標楷體" w:hint="eastAsia"/>
          <w:color w:val="auto"/>
        </w:rPr>
        <w:t>及</w:t>
      </w:r>
      <w:r w:rsidR="0039575C" w:rsidRPr="00EB4364">
        <w:rPr>
          <w:rFonts w:hAnsi="標楷體" w:hint="eastAsia"/>
          <w:color w:val="auto"/>
        </w:rPr>
        <w:t>我國</w:t>
      </w:r>
      <w:r w:rsidR="0042721F" w:rsidRPr="00EB4364">
        <w:rPr>
          <w:rFonts w:hAnsi="標楷體" w:hint="eastAsia"/>
          <w:color w:val="auto"/>
        </w:rPr>
        <w:t>未成年產母人數</w:t>
      </w:r>
      <w:r w:rsidR="0039575C" w:rsidRPr="00EB4364">
        <w:rPr>
          <w:rFonts w:hAnsi="標楷體" w:hint="eastAsia"/>
          <w:color w:val="auto"/>
        </w:rPr>
        <w:t>長達10年</w:t>
      </w:r>
      <w:r w:rsidR="0042721F" w:rsidRPr="00EB4364">
        <w:rPr>
          <w:rFonts w:hAnsi="標楷體" w:hint="eastAsia"/>
          <w:color w:val="auto"/>
        </w:rPr>
        <w:t>皆無法有效下降，影響兒童及青少年身心健康及受教權甚鉅，</w:t>
      </w:r>
      <w:r w:rsidR="0039575C" w:rsidRPr="00EB4364">
        <w:rPr>
          <w:rFonts w:hAnsi="標楷體" w:hint="eastAsia"/>
          <w:color w:val="auto"/>
        </w:rPr>
        <w:t>相關部會</w:t>
      </w:r>
      <w:r w:rsidR="0042721F" w:rsidRPr="00EB4364">
        <w:rPr>
          <w:rFonts w:hAnsi="標楷體" w:hint="eastAsia"/>
          <w:color w:val="auto"/>
        </w:rPr>
        <w:t>行事便宜草率，洵有嚴重疏失。</w:t>
      </w:r>
    </w:p>
    <w:p w:rsidR="0071354C" w:rsidRPr="00EB4364" w:rsidRDefault="0071354C" w:rsidP="0071354C">
      <w:pPr>
        <w:pStyle w:val="2"/>
        <w:rPr>
          <w:rFonts w:hAnsi="標楷體"/>
          <w:b/>
        </w:rPr>
      </w:pPr>
      <w:r w:rsidRPr="00EB4364">
        <w:rPr>
          <w:rFonts w:hAnsi="標楷體" w:hint="eastAsia"/>
          <w:b/>
        </w:rPr>
        <w:t>衛福部以未強制醫療院所須提報所設青少年親善門診服務量為由，</w:t>
      </w:r>
      <w:r w:rsidR="0039575C" w:rsidRPr="00EB4364">
        <w:rPr>
          <w:rFonts w:hAnsi="標楷體" w:hint="eastAsia"/>
          <w:b/>
        </w:rPr>
        <w:t>致</w:t>
      </w:r>
      <w:r w:rsidRPr="00EB4364">
        <w:rPr>
          <w:rFonts w:hAnsi="標楷體" w:hint="eastAsia"/>
          <w:b/>
        </w:rPr>
        <w:t>無法確實掌握青少年親善門診之服務情形及成效，</w:t>
      </w:r>
      <w:r w:rsidR="006149A2" w:rsidRPr="00EB4364">
        <w:rPr>
          <w:rFonts w:hAnsi="標楷體" w:hint="eastAsia"/>
          <w:b/>
        </w:rPr>
        <w:t>迨</w:t>
      </w:r>
      <w:r w:rsidRPr="00EB4364">
        <w:rPr>
          <w:rFonts w:hAnsi="標楷體" w:hint="eastAsia"/>
          <w:b/>
        </w:rPr>
        <w:t>本院調查</w:t>
      </w:r>
      <w:r w:rsidR="006149A2" w:rsidRPr="00EB4364">
        <w:rPr>
          <w:rFonts w:hAnsi="標楷體" w:hint="eastAsia"/>
          <w:b/>
        </w:rPr>
        <w:t>詢問</w:t>
      </w:r>
      <w:r w:rsidRPr="00EB4364">
        <w:rPr>
          <w:rFonts w:hAnsi="標楷體" w:hint="eastAsia"/>
          <w:b/>
        </w:rPr>
        <w:t>後始辦理相關業務之基礎統計，又統計結果顯示</w:t>
      </w:r>
      <w:r w:rsidR="006149A2" w:rsidRPr="00EB4364">
        <w:rPr>
          <w:rFonts w:hAnsi="標楷體" w:hint="eastAsia"/>
          <w:b/>
        </w:rPr>
        <w:t>105年</w:t>
      </w:r>
      <w:r w:rsidRPr="00EB4364">
        <w:rPr>
          <w:rFonts w:hAnsi="標楷體" w:hint="eastAsia"/>
          <w:b/>
        </w:rPr>
        <w:t>80家青少年親善門診</w:t>
      </w:r>
      <w:r w:rsidR="006149A2" w:rsidRPr="00EB4364">
        <w:rPr>
          <w:rFonts w:hAnsi="標楷體" w:hint="eastAsia"/>
          <w:b/>
        </w:rPr>
        <w:t>中</w:t>
      </w:r>
      <w:r w:rsidRPr="00EB4364">
        <w:rPr>
          <w:rFonts w:hAnsi="標楷體" w:hint="eastAsia"/>
          <w:b/>
        </w:rPr>
        <w:t>有25家服務人次為0人、12家</w:t>
      </w:r>
      <w:r w:rsidR="002A7A12" w:rsidRPr="00EB4364">
        <w:rPr>
          <w:rFonts w:hAnsi="標楷體" w:hint="eastAsia"/>
          <w:b/>
        </w:rPr>
        <w:t>則</w:t>
      </w:r>
      <w:r w:rsidRPr="00EB4364">
        <w:rPr>
          <w:rFonts w:hAnsi="標楷體" w:hint="eastAsia"/>
          <w:b/>
        </w:rPr>
        <w:t>無提報</w:t>
      </w:r>
      <w:r w:rsidR="002A7A12" w:rsidRPr="00EB4364">
        <w:rPr>
          <w:rFonts w:hAnsi="標楷體" w:hint="eastAsia"/>
          <w:b/>
        </w:rPr>
        <w:t>相關</w:t>
      </w:r>
      <w:r w:rsidRPr="00EB4364">
        <w:rPr>
          <w:rFonts w:hAnsi="標楷體" w:hint="eastAsia"/>
          <w:b/>
        </w:rPr>
        <w:t>數據，</w:t>
      </w:r>
      <w:r w:rsidR="002A7A12" w:rsidRPr="00EB4364">
        <w:rPr>
          <w:rFonts w:hAnsi="標楷體" w:hint="eastAsia"/>
          <w:b/>
        </w:rPr>
        <w:t>核</w:t>
      </w:r>
      <w:r w:rsidR="004F6F7D" w:rsidRPr="00EB4364">
        <w:rPr>
          <w:rFonts w:hAnsi="標楷體" w:hint="eastAsia"/>
          <w:b/>
        </w:rPr>
        <w:t>其</w:t>
      </w:r>
      <w:r w:rsidR="006149A2" w:rsidRPr="00EB4364">
        <w:rPr>
          <w:rFonts w:hAnsi="標楷體" w:hint="eastAsia"/>
          <w:b/>
        </w:rPr>
        <w:t>政策立意良善，但</w:t>
      </w:r>
      <w:r w:rsidRPr="00EB4364">
        <w:rPr>
          <w:rFonts w:hAnsi="標楷體" w:hint="eastAsia"/>
          <w:b/>
        </w:rPr>
        <w:t>執行成效不彰，徒具形式，</w:t>
      </w:r>
      <w:r w:rsidR="00C04CEA" w:rsidRPr="00EB4364">
        <w:rPr>
          <w:rFonts w:hAnsi="標楷體" w:hint="eastAsia"/>
          <w:b/>
        </w:rPr>
        <w:t>顯</w:t>
      </w:r>
      <w:r w:rsidRPr="00EB4364">
        <w:rPr>
          <w:rFonts w:hAnsi="標楷體" w:hint="eastAsia"/>
          <w:b/>
        </w:rPr>
        <w:t>有怠失</w:t>
      </w:r>
    </w:p>
    <w:p w:rsidR="0071354C" w:rsidRPr="00EB4364" w:rsidRDefault="0071354C" w:rsidP="0071354C">
      <w:pPr>
        <w:pStyle w:val="3"/>
        <w:rPr>
          <w:rFonts w:hAnsi="標楷體"/>
          <w:color w:val="auto"/>
        </w:rPr>
      </w:pPr>
      <w:r w:rsidRPr="00EB4364">
        <w:rPr>
          <w:rFonts w:hAnsi="標楷體" w:hint="eastAsia"/>
          <w:color w:val="auto"/>
        </w:rPr>
        <w:t>青少年健康為全球性之公共議題，WHO於2003年提出「青少年生育保健親善門診準則」，並於2015年進一步推動青少年健康照護服務品質</w:t>
      </w:r>
      <w:r w:rsidRPr="00EB4364">
        <w:rPr>
          <w:rFonts w:hAnsi="標楷體" w:hint="eastAsia"/>
          <w:color w:val="auto"/>
          <w:sz w:val="28"/>
        </w:rPr>
        <w:t>，</w:t>
      </w:r>
      <w:r w:rsidRPr="00EB4364">
        <w:rPr>
          <w:rFonts w:hAnsi="標楷體" w:hint="eastAsia"/>
          <w:color w:val="auto"/>
        </w:rPr>
        <w:t>提出8項全球標準</w:t>
      </w:r>
      <w:r w:rsidRPr="00EB4364">
        <w:rPr>
          <w:rStyle w:val="afc"/>
          <w:rFonts w:hAnsi="標楷體"/>
          <w:color w:val="auto"/>
        </w:rPr>
        <w:footnoteReference w:id="10"/>
      </w:r>
      <w:r w:rsidRPr="00EB4364">
        <w:rPr>
          <w:rFonts w:hAnsi="標楷體" w:hint="eastAsia"/>
          <w:color w:val="auto"/>
        </w:rPr>
        <w:t>及79個準則，</w:t>
      </w:r>
      <w:r w:rsidR="004F6F7D" w:rsidRPr="00EB4364">
        <w:rPr>
          <w:rFonts w:hAnsi="標楷體" w:hint="eastAsia"/>
          <w:color w:val="auto"/>
        </w:rPr>
        <w:t>據此</w:t>
      </w:r>
      <w:r w:rsidRPr="00EB4364">
        <w:rPr>
          <w:rFonts w:hAnsi="標楷體" w:hint="eastAsia"/>
          <w:color w:val="auto"/>
        </w:rPr>
        <w:t>我國</w:t>
      </w:r>
      <w:r w:rsidR="004F6F7D" w:rsidRPr="00EB4364">
        <w:rPr>
          <w:rFonts w:hAnsi="標楷體" w:hint="eastAsia"/>
          <w:color w:val="auto"/>
        </w:rPr>
        <w:t>展開</w:t>
      </w:r>
      <w:r w:rsidRPr="00EB4364">
        <w:rPr>
          <w:rFonts w:hAnsi="標楷體" w:hint="eastAsia"/>
          <w:color w:val="auto"/>
        </w:rPr>
        <w:t>青少年生育保健親善門診之服務模式。</w:t>
      </w:r>
    </w:p>
    <w:p w:rsidR="0071354C" w:rsidRPr="00EB4364" w:rsidRDefault="0071354C" w:rsidP="00385F26">
      <w:pPr>
        <w:pStyle w:val="3"/>
        <w:rPr>
          <w:color w:val="auto"/>
        </w:rPr>
      </w:pPr>
      <w:r w:rsidRPr="00EB4364">
        <w:rPr>
          <w:rFonts w:hint="eastAsia"/>
          <w:color w:val="auto"/>
        </w:rPr>
        <w:t>經查，</w:t>
      </w:r>
      <w:r w:rsidR="003905B3" w:rsidRPr="00EB4364">
        <w:rPr>
          <w:rFonts w:hint="eastAsia"/>
          <w:color w:val="auto"/>
        </w:rPr>
        <w:t>前行政院</w:t>
      </w:r>
      <w:r w:rsidR="00385F26" w:rsidRPr="00EB4364">
        <w:rPr>
          <w:rFonts w:hint="eastAsia"/>
          <w:color w:val="auto"/>
        </w:rPr>
        <w:t>衛生署國民健康局</w:t>
      </w:r>
      <w:r w:rsidRPr="00EB4364">
        <w:rPr>
          <w:rFonts w:hint="eastAsia"/>
          <w:color w:val="auto"/>
        </w:rPr>
        <w:t>（現為</w:t>
      </w:r>
      <w:r w:rsidR="00385F26" w:rsidRPr="00EB4364">
        <w:rPr>
          <w:rFonts w:hAnsi="標楷體" w:hint="eastAsia"/>
          <w:color w:val="auto"/>
        </w:rPr>
        <w:t>衛福部國</w:t>
      </w:r>
      <w:r w:rsidR="00385F26" w:rsidRPr="00EB4364">
        <w:rPr>
          <w:rFonts w:hAnsi="標楷體" w:hint="eastAsia"/>
          <w:color w:val="auto"/>
        </w:rPr>
        <w:lastRenderedPageBreak/>
        <w:t>健署</w:t>
      </w:r>
      <w:r w:rsidRPr="00EB4364">
        <w:rPr>
          <w:rFonts w:hint="eastAsia"/>
          <w:color w:val="auto"/>
        </w:rPr>
        <w:t>）自99年起，以公開徵求委辦方式辦理「青少年親善醫師/門診計畫」（Teens</w:t>
      </w:r>
      <w:r w:rsidRPr="00EB4364">
        <w:rPr>
          <w:color w:val="auto"/>
        </w:rPr>
        <w:t>’</w:t>
      </w:r>
      <w:r w:rsidRPr="00EB4364">
        <w:rPr>
          <w:rFonts w:hint="eastAsia"/>
          <w:color w:val="auto"/>
        </w:rPr>
        <w:t>幸福9號），</w:t>
      </w:r>
      <w:r w:rsidR="004F6F7D" w:rsidRPr="00EB4364">
        <w:rPr>
          <w:rFonts w:hint="eastAsia"/>
          <w:color w:val="auto"/>
        </w:rPr>
        <w:t>醫療</w:t>
      </w:r>
      <w:r w:rsidRPr="00EB4364">
        <w:rPr>
          <w:rFonts w:hint="eastAsia"/>
          <w:color w:val="auto"/>
        </w:rPr>
        <w:t>院所如有意願成為</w:t>
      </w:r>
      <w:r w:rsidR="004F6F7D" w:rsidRPr="00EB4364">
        <w:rPr>
          <w:rFonts w:hint="eastAsia"/>
          <w:color w:val="auto"/>
        </w:rPr>
        <w:t>青少年</w:t>
      </w:r>
      <w:r w:rsidRPr="00EB4364">
        <w:rPr>
          <w:rFonts w:hint="eastAsia"/>
          <w:color w:val="auto"/>
        </w:rPr>
        <w:t>親善門診，備妥合作意願同意書，向</w:t>
      </w:r>
      <w:r w:rsidR="00385F26" w:rsidRPr="00EB4364">
        <w:rPr>
          <w:rFonts w:hint="eastAsia"/>
          <w:color w:val="auto"/>
        </w:rPr>
        <w:t>衛福部</w:t>
      </w:r>
      <w:r w:rsidRPr="00EB4364">
        <w:rPr>
          <w:rFonts w:hint="eastAsia"/>
          <w:color w:val="auto"/>
        </w:rPr>
        <w:t>國健署所委託之臺灣青少年醫學暨保健學會申請，經該學會審查通過後</w:t>
      </w:r>
      <w:r w:rsidR="004F6F7D" w:rsidRPr="00EB4364">
        <w:rPr>
          <w:rFonts w:hint="eastAsia"/>
          <w:color w:val="auto"/>
        </w:rPr>
        <w:t>即</w:t>
      </w:r>
      <w:r w:rsidRPr="00EB4364">
        <w:rPr>
          <w:rFonts w:hint="eastAsia"/>
          <w:color w:val="auto"/>
        </w:rPr>
        <w:t>成為青少年親善門診，提供青少年兩性交往諮詢、各種避孕方法及諮詢、事後緊急避孕服務與</w:t>
      </w:r>
      <w:r w:rsidR="004F6F7D" w:rsidRPr="00EB4364">
        <w:rPr>
          <w:rFonts w:hint="eastAsia"/>
          <w:color w:val="auto"/>
        </w:rPr>
        <w:t>中</w:t>
      </w:r>
      <w:r w:rsidRPr="00EB4364">
        <w:rPr>
          <w:rFonts w:hint="eastAsia"/>
          <w:color w:val="auto"/>
        </w:rPr>
        <w:t>止初期懷孕服務，並由醫師與青少年及其父母親詳談，藉由提供充分的資訊來協助其做最佳選擇，有助於青少年在青春期將面對快速變化的生理及心理發展。</w:t>
      </w:r>
    </w:p>
    <w:p w:rsidR="0071354C" w:rsidRPr="00EB4364" w:rsidRDefault="004F6F7D" w:rsidP="0071354C">
      <w:pPr>
        <w:pStyle w:val="3"/>
        <w:rPr>
          <w:rFonts w:hAnsi="標楷體"/>
          <w:color w:val="auto"/>
        </w:rPr>
      </w:pPr>
      <w:r w:rsidRPr="00EB4364">
        <w:rPr>
          <w:rFonts w:hAnsi="標楷體" w:hint="eastAsia"/>
          <w:color w:val="auto"/>
        </w:rPr>
        <w:t>次查</w:t>
      </w:r>
      <w:r w:rsidR="0071354C" w:rsidRPr="00EB4364">
        <w:rPr>
          <w:rFonts w:hAnsi="標楷體" w:hint="eastAsia"/>
          <w:color w:val="auto"/>
        </w:rPr>
        <w:t>100至105年青少年親善醫師/門診計畫委託經費為新臺幣（下同）230</w:t>
      </w:r>
      <w:r w:rsidR="006D1CE8" w:rsidRPr="00EB4364">
        <w:rPr>
          <w:rFonts w:hAnsi="標楷體" w:hint="eastAsia"/>
          <w:color w:val="auto"/>
        </w:rPr>
        <w:t>萬</w:t>
      </w:r>
      <w:r w:rsidR="0071354C" w:rsidRPr="00EB4364">
        <w:rPr>
          <w:rFonts w:hAnsi="標楷體" w:hint="eastAsia"/>
          <w:color w:val="auto"/>
        </w:rPr>
        <w:t>至340萬元間，初期參與合作單位以醫院婦產科</w:t>
      </w:r>
      <w:r w:rsidRPr="00EB4364">
        <w:rPr>
          <w:rFonts w:hAnsi="標楷體" w:hint="eastAsia"/>
          <w:color w:val="auto"/>
        </w:rPr>
        <w:t>及</w:t>
      </w:r>
      <w:r w:rsidR="0071354C" w:rsidRPr="00EB4364">
        <w:rPr>
          <w:rFonts w:hAnsi="標楷體" w:hint="eastAsia"/>
          <w:color w:val="auto"/>
        </w:rPr>
        <w:t>婦產科診所為主，以青少女未預期懷孕及生育保健為主要諮詢議題，門診看診前醫事人員協助個案先填寫「青少年身心健康評估檢核表」，並依據檢核表內容評估青少年潛在的困擾或議題，以利提供適切的協助，完成之檢核表院所須提供給委託單位進行分析，由計畫經費依繳回檢核表數量，提供每案200元做為院所獎勵，105年共計收回青少年身心健康評估檢核表計2,274件</w:t>
      </w:r>
      <w:r w:rsidR="00582B91" w:rsidRPr="00EB4364">
        <w:rPr>
          <w:rFonts w:hAnsi="標楷體" w:hint="eastAsia"/>
          <w:color w:val="auto"/>
        </w:rPr>
        <w:t>、</w:t>
      </w:r>
      <w:r w:rsidR="0071354C" w:rsidRPr="00EB4364">
        <w:rPr>
          <w:rFonts w:hAnsi="標楷體" w:hint="eastAsia"/>
          <w:color w:val="auto"/>
        </w:rPr>
        <w:t>門診服務人次計1萬7,049人次，詳細情形如下表：</w:t>
      </w:r>
    </w:p>
    <w:p w:rsidR="0071354C" w:rsidRPr="00EB4364" w:rsidRDefault="0071354C" w:rsidP="007507A6">
      <w:pPr>
        <w:pStyle w:val="a3"/>
        <w:spacing w:beforeLines="50" w:before="228" w:line="480" w:lineRule="exact"/>
        <w:ind w:left="661" w:hangingChars="236" w:hanging="661"/>
        <w:rPr>
          <w:rFonts w:hAnsi="標楷體"/>
          <w:szCs w:val="32"/>
        </w:rPr>
      </w:pPr>
      <w:r w:rsidRPr="00EB4364">
        <w:rPr>
          <w:rFonts w:hAnsi="標楷體"/>
          <w:szCs w:val="32"/>
        </w:rPr>
        <w:t>105年青少年親善門診</w:t>
      </w:r>
      <w:r w:rsidRPr="00EB4364">
        <w:rPr>
          <w:rFonts w:hAnsi="標楷體" w:hint="eastAsia"/>
          <w:szCs w:val="32"/>
        </w:rPr>
        <w:t>個別醫療院所</w:t>
      </w:r>
      <w:r w:rsidRPr="00EB4364">
        <w:rPr>
          <w:rFonts w:hAnsi="標楷體"/>
          <w:szCs w:val="32"/>
        </w:rPr>
        <w:t>服務人次統計</w:t>
      </w:r>
    </w:p>
    <w:tbl>
      <w:tblPr>
        <w:tblW w:w="5000" w:type="pct"/>
        <w:tblCellMar>
          <w:left w:w="28" w:type="dxa"/>
          <w:right w:w="28" w:type="dxa"/>
        </w:tblCellMar>
        <w:tblLook w:val="04A0" w:firstRow="1" w:lastRow="0" w:firstColumn="1" w:lastColumn="0" w:noHBand="0" w:noVBand="1"/>
      </w:tblPr>
      <w:tblGrid>
        <w:gridCol w:w="3563"/>
        <w:gridCol w:w="987"/>
        <w:gridCol w:w="3310"/>
        <w:gridCol w:w="974"/>
      </w:tblGrid>
      <w:tr w:rsidR="00EB4364" w:rsidRPr="00EB4364" w:rsidTr="003D6077">
        <w:trPr>
          <w:trHeight w:val="454"/>
          <w:tblHeader/>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center"/>
              <w:rPr>
                <w:rFonts w:hAnsi="標楷體" w:cs="新細明體"/>
                <w:b/>
                <w:kern w:val="0"/>
                <w:sz w:val="28"/>
                <w:szCs w:val="28"/>
              </w:rPr>
            </w:pPr>
            <w:r w:rsidRPr="00EB4364">
              <w:rPr>
                <w:rFonts w:hAnsi="標楷體" w:cs="新細明體" w:hint="eastAsia"/>
                <w:b/>
                <w:kern w:val="0"/>
                <w:sz w:val="28"/>
                <w:szCs w:val="28"/>
              </w:rPr>
              <w:t>醫療院所</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center"/>
              <w:rPr>
                <w:rFonts w:hAnsi="標楷體" w:cs="新細明體"/>
                <w:b/>
                <w:kern w:val="0"/>
                <w:sz w:val="28"/>
                <w:szCs w:val="28"/>
              </w:rPr>
            </w:pPr>
            <w:r w:rsidRPr="00EB4364">
              <w:rPr>
                <w:rFonts w:hAnsi="標楷體" w:cs="新細明體" w:hint="eastAsia"/>
                <w:b/>
                <w:kern w:val="0"/>
                <w:sz w:val="28"/>
                <w:szCs w:val="28"/>
              </w:rPr>
              <w:t>人次</w:t>
            </w:r>
          </w:p>
        </w:tc>
        <w:tc>
          <w:tcPr>
            <w:tcW w:w="1879"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center"/>
              <w:rPr>
                <w:rFonts w:hAnsi="標楷體" w:cs="新細明體"/>
                <w:b/>
                <w:kern w:val="0"/>
                <w:sz w:val="28"/>
                <w:szCs w:val="28"/>
              </w:rPr>
            </w:pPr>
            <w:r w:rsidRPr="00EB4364">
              <w:rPr>
                <w:rFonts w:hAnsi="標楷體" w:cs="新細明體" w:hint="eastAsia"/>
                <w:b/>
                <w:kern w:val="0"/>
                <w:sz w:val="28"/>
                <w:szCs w:val="28"/>
              </w:rPr>
              <w:t>醫療院所</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center"/>
              <w:rPr>
                <w:rFonts w:hAnsi="標楷體" w:cs="新細明體"/>
                <w:b/>
                <w:kern w:val="0"/>
                <w:sz w:val="28"/>
                <w:szCs w:val="28"/>
              </w:rPr>
            </w:pPr>
            <w:r w:rsidRPr="00EB4364">
              <w:rPr>
                <w:rFonts w:hAnsi="標楷體" w:cs="新細明體" w:hint="eastAsia"/>
                <w:b/>
                <w:kern w:val="0"/>
                <w:sz w:val="28"/>
                <w:szCs w:val="28"/>
              </w:rPr>
              <w:t>人次</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蔡明輝診所（臺南）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4,801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中山醫學大學附設醫院（臺中）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國軍花蓮總醫院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3,734</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烏日區衛生所（臺中）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宏其婦幼醫院（桃園）</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1,743</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高雄榮民總醫院臺南分院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莊凱全小兒科（嘉義）</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1,688</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廖內兒科診所（基隆）</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大千綜合醫院（苗栗）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744</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臺北市立萬芳醫院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十仁診所（彰化）</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471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三軍總醫院北投分院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lastRenderedPageBreak/>
              <w:t>天恩診所（苗栗）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457</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天晴身心診所（臺北）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夏凱納生活診所（臺北）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445</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永和耕莘醫院（新北）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光田醫院（臺中）</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414</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杏春家醫科診所（新北）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衛福部臺中醫院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356</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頭城鎮衛生所（宜蘭）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衛生福利部基隆醫院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346</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礁溪鄉衛生所（宜蘭）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楊孟達身心精神科診所（新北）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301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宜蘭市衛生所</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鄭英傑婦產科（屏東）</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202</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南澳鄉衛生所（宜蘭）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新北市立聯合醫院三重院區</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169</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冬山鄉衛生所（宜蘭）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亞東紀念醫院（新北）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167</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羅東鎮衛生所（宜蘭）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陳文龍婦產科診所（新北）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160</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林榆森小兒科診所（宜蘭）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延平鄉衛生所（臺東）</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154</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安信診所（宜蘭）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為恭紀念醫院（苗栗）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107</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林文豹小兒科診所（臺中）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史地分小兒科（臺南）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86</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慶生婦產科診所（南投）</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97"/>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臺北市立聯合醫院婦幼院區</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81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大林慈濟醫院斗六門診部（雲林）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高雄市立凱旋醫院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81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成大醫院斗六分院（雲林）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臺大醫院（臺北）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76</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衛生福利部朴子醫院（雲林）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天佑診所（新北）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70</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大林慈濟醫院（嘉義）</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成大醫院（臺南）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64</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臺南柳營奇美醫院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天給婦產科（新北）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62</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花蓮慈濟醫院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高雄市立小港醫院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43</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三軍總醫院澎湖分院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衛生福利部桃園醫院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42</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金湖衛生所（金門）</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基督教門諾會醫院（花蓮）</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33</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烈嶼鄉衛生所（金門）</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0</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元程婦幼聯合診所（新北）</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28</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陳建銘婦產科診所（新竹）</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雲上太陽心寧診所（高雄）</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25</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羅東博愛醫院（宜蘭）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衛生福利部金門醫院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21</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中國醫藥大學兒童醫院（臺北）</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臺北市立聯合醫院仁愛院區</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20</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童綜合醫院（臺中）</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衛生福利部嘉義醫院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19</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衛生福利部南投醫院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草屯鎮衛生所（南投）</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15</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天主教聖馬爾定醫院（嘉義）</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員山鄉衛生所（宜蘭）</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13</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嘉義基督教醫院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34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衛生福利部澎湖醫院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9</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元和馨小兒科診所（屏東）</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454"/>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lastRenderedPageBreak/>
              <w:t>連江縣立醫院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7</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臺大醫院竹東分院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51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尖石鄉衛生所（新竹）</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5</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衛生福利部彰化醫院</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510"/>
        </w:trPr>
        <w:tc>
          <w:tcPr>
            <w:tcW w:w="2022" w:type="pct"/>
            <w:tcBorders>
              <w:top w:val="nil"/>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彰化基督教醫院</w:t>
            </w:r>
          </w:p>
        </w:tc>
        <w:tc>
          <w:tcPr>
            <w:tcW w:w="553"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5</w:t>
            </w:r>
          </w:p>
        </w:tc>
        <w:tc>
          <w:tcPr>
            <w:tcW w:w="1879"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竹塘鄉衛生所（彰化）</w:t>
            </w:r>
          </w:p>
        </w:tc>
        <w:tc>
          <w:tcPr>
            <w:tcW w:w="546" w:type="pct"/>
            <w:tcBorders>
              <w:top w:val="nil"/>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510"/>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臺北市立聯合醫院陽明院區</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right"/>
              <w:rPr>
                <w:rFonts w:hAnsi="標楷體" w:cs="新細明體"/>
                <w:kern w:val="0"/>
                <w:sz w:val="28"/>
                <w:szCs w:val="28"/>
              </w:rPr>
            </w:pPr>
            <w:r w:rsidRPr="00EB4364">
              <w:rPr>
                <w:rFonts w:hAnsi="標楷體" w:cs="新細明體" w:hint="eastAsia"/>
                <w:kern w:val="0"/>
                <w:sz w:val="28"/>
                <w:szCs w:val="28"/>
              </w:rPr>
              <w:t>2</w:t>
            </w:r>
          </w:p>
        </w:tc>
        <w:tc>
          <w:tcPr>
            <w:tcW w:w="1879"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高雄醫學大學附設醫院</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無提報</w:t>
            </w:r>
          </w:p>
        </w:tc>
      </w:tr>
      <w:tr w:rsidR="00EB4364" w:rsidRPr="00EB4364" w:rsidTr="003D6077">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6077" w:rsidRPr="00EB4364" w:rsidRDefault="003D6077" w:rsidP="001B02B5">
            <w:pPr>
              <w:widowControl/>
              <w:overflowPunct/>
              <w:autoSpaceDE/>
              <w:autoSpaceDN/>
              <w:spacing w:line="240" w:lineRule="exact"/>
              <w:jc w:val="left"/>
              <w:rPr>
                <w:rFonts w:hAnsi="標楷體" w:cs="新細明體"/>
                <w:kern w:val="0"/>
                <w:sz w:val="28"/>
                <w:szCs w:val="28"/>
              </w:rPr>
            </w:pPr>
            <w:r w:rsidRPr="00EB4364">
              <w:rPr>
                <w:rFonts w:hAnsi="標楷體" w:cs="新細明體" w:hint="eastAsia"/>
                <w:kern w:val="0"/>
                <w:sz w:val="28"/>
                <w:szCs w:val="28"/>
              </w:rPr>
              <w:t>備註：</w:t>
            </w:r>
          </w:p>
          <w:p w:rsidR="003D6077" w:rsidRPr="00EB4364" w:rsidRDefault="003D6077" w:rsidP="003D6077">
            <w:pPr>
              <w:pStyle w:val="af7"/>
              <w:widowControl/>
              <w:numPr>
                <w:ilvl w:val="0"/>
                <w:numId w:val="13"/>
              </w:numPr>
              <w:overflowPunct/>
              <w:autoSpaceDE/>
              <w:autoSpaceDN/>
              <w:spacing w:line="240" w:lineRule="exact"/>
              <w:ind w:leftChars="0"/>
              <w:jc w:val="left"/>
              <w:rPr>
                <w:rFonts w:hAnsi="標楷體" w:cs="新細明體"/>
                <w:kern w:val="0"/>
                <w:sz w:val="28"/>
                <w:szCs w:val="28"/>
              </w:rPr>
            </w:pPr>
            <w:r w:rsidRPr="00EB4364">
              <w:rPr>
                <w:rFonts w:hAnsi="標楷體" w:cs="新細明體" w:hint="eastAsia"/>
                <w:kern w:val="0"/>
                <w:sz w:val="28"/>
                <w:szCs w:val="28"/>
              </w:rPr>
              <w:t>臺大醫院竹東分院</w:t>
            </w:r>
            <w:r w:rsidRPr="00EB4364">
              <w:rPr>
                <w:rFonts w:hAnsi="標楷體" w:cs="新細明體" w:hint="eastAsia"/>
                <w:kern w:val="0"/>
                <w:sz w:val="28"/>
                <w:szCs w:val="28"/>
              </w:rPr>
              <w:tab/>
              <w:t>自105年9月起暫停服務，故無提報。</w:t>
            </w:r>
          </w:p>
          <w:p w:rsidR="003D6077" w:rsidRPr="00EB4364" w:rsidRDefault="003D6077" w:rsidP="003D6077">
            <w:pPr>
              <w:pStyle w:val="af7"/>
              <w:widowControl/>
              <w:numPr>
                <w:ilvl w:val="0"/>
                <w:numId w:val="13"/>
              </w:numPr>
              <w:overflowPunct/>
              <w:autoSpaceDE/>
              <w:autoSpaceDN/>
              <w:spacing w:line="240" w:lineRule="exact"/>
              <w:ind w:leftChars="0"/>
              <w:jc w:val="left"/>
              <w:rPr>
                <w:rFonts w:hAnsi="標楷體" w:cs="新細明體"/>
                <w:kern w:val="0"/>
                <w:sz w:val="28"/>
                <w:szCs w:val="28"/>
              </w:rPr>
            </w:pPr>
            <w:r w:rsidRPr="00EB4364">
              <w:rPr>
                <w:rFonts w:hAnsi="標楷體" w:cs="新細明體" w:hint="eastAsia"/>
                <w:kern w:val="0"/>
                <w:sz w:val="28"/>
                <w:szCs w:val="28"/>
              </w:rPr>
              <w:t>烏日區衛生所</w:t>
            </w:r>
            <w:r w:rsidRPr="00EB4364">
              <w:rPr>
                <w:rFonts w:hAnsi="標楷體" w:cs="新細明體" w:hint="eastAsia"/>
                <w:kern w:val="0"/>
                <w:sz w:val="28"/>
                <w:szCs w:val="28"/>
              </w:rPr>
              <w:tab/>
              <w:t>主任於105年8月調至東區衛生所服務。</w:t>
            </w:r>
          </w:p>
          <w:p w:rsidR="003D6077" w:rsidRPr="00EB4364" w:rsidRDefault="003D6077" w:rsidP="003D6077">
            <w:pPr>
              <w:pStyle w:val="af7"/>
              <w:widowControl/>
              <w:numPr>
                <w:ilvl w:val="0"/>
                <w:numId w:val="13"/>
              </w:numPr>
              <w:overflowPunct/>
              <w:autoSpaceDE/>
              <w:autoSpaceDN/>
              <w:spacing w:line="240" w:lineRule="exact"/>
              <w:ind w:leftChars="0"/>
              <w:jc w:val="left"/>
              <w:rPr>
                <w:rFonts w:hAnsi="標楷體" w:cs="新細明體"/>
                <w:kern w:val="0"/>
                <w:sz w:val="28"/>
                <w:szCs w:val="28"/>
              </w:rPr>
            </w:pPr>
            <w:r w:rsidRPr="00EB4364">
              <w:rPr>
                <w:rFonts w:hAnsi="標楷體" w:cs="新細明體" w:hint="eastAsia"/>
                <w:kern w:val="0"/>
                <w:sz w:val="28"/>
                <w:szCs w:val="28"/>
              </w:rPr>
              <w:t>衛生福利部彰化醫院、竹塘鄉衛生所及高雄醫學大學附設醫院</w:t>
            </w:r>
            <w:r w:rsidRPr="00EB4364">
              <w:rPr>
                <w:rFonts w:hAnsi="標楷體" w:cs="新細明體" w:hint="eastAsia"/>
                <w:kern w:val="0"/>
                <w:sz w:val="28"/>
                <w:szCs w:val="28"/>
              </w:rPr>
              <w:tab/>
              <w:t>均於</w:t>
            </w:r>
            <w:r w:rsidRPr="00EB4364">
              <w:rPr>
                <w:rFonts w:hAnsi="標楷體" w:cs="新細明體" w:hint="eastAsia"/>
                <w:kern w:val="0"/>
                <w:sz w:val="28"/>
                <w:szCs w:val="28"/>
              </w:rPr>
              <w:tab/>
              <w:t>105年底加入，故無提報。</w:t>
            </w:r>
          </w:p>
        </w:tc>
      </w:tr>
    </w:tbl>
    <w:p w:rsidR="0071354C" w:rsidRPr="00EB4364" w:rsidRDefault="0071354C" w:rsidP="0071354C">
      <w:pPr>
        <w:rPr>
          <w:rFonts w:hAnsi="標楷體"/>
          <w:sz w:val="28"/>
          <w:szCs w:val="28"/>
        </w:rPr>
      </w:pPr>
      <w:r w:rsidRPr="00EB4364">
        <w:rPr>
          <w:rFonts w:hAnsi="標楷體" w:hint="eastAsia"/>
          <w:sz w:val="28"/>
          <w:szCs w:val="28"/>
        </w:rPr>
        <w:t>資料來源：</w:t>
      </w:r>
      <w:r w:rsidR="00E9104C" w:rsidRPr="00EB4364">
        <w:rPr>
          <w:rFonts w:hAnsi="標楷體" w:hint="eastAsia"/>
          <w:sz w:val="28"/>
          <w:szCs w:val="28"/>
        </w:rPr>
        <w:t>衛福部</w:t>
      </w:r>
      <w:r w:rsidRPr="00EB4364">
        <w:rPr>
          <w:rFonts w:hAnsi="標楷體" w:hint="eastAsia"/>
          <w:sz w:val="28"/>
          <w:szCs w:val="28"/>
        </w:rPr>
        <w:t>國健署</w:t>
      </w:r>
      <w:r w:rsidR="00E9104C" w:rsidRPr="00EB4364">
        <w:rPr>
          <w:rFonts w:hAnsi="標楷體" w:hint="eastAsia"/>
          <w:sz w:val="28"/>
          <w:szCs w:val="28"/>
        </w:rPr>
        <w:t>106年7月27日電子郵件說明資料</w:t>
      </w:r>
      <w:r w:rsidRPr="00EB4364">
        <w:rPr>
          <w:rFonts w:hAnsi="標楷體" w:hint="eastAsia"/>
          <w:sz w:val="28"/>
          <w:szCs w:val="28"/>
        </w:rPr>
        <w:t>。</w:t>
      </w:r>
    </w:p>
    <w:p w:rsidR="00404C84" w:rsidRPr="00EB4364" w:rsidRDefault="006D76C1" w:rsidP="00CA01EF">
      <w:pPr>
        <w:pStyle w:val="3"/>
        <w:rPr>
          <w:color w:val="auto"/>
        </w:rPr>
      </w:pPr>
      <w:r w:rsidRPr="00EB4364">
        <w:rPr>
          <w:rFonts w:hint="eastAsia"/>
          <w:color w:val="auto"/>
        </w:rPr>
        <w:t>再者，</w:t>
      </w:r>
      <w:r w:rsidR="00834B38" w:rsidRPr="00EB4364">
        <w:rPr>
          <w:rFonts w:hint="eastAsia"/>
          <w:color w:val="auto"/>
        </w:rPr>
        <w:t>青少年親善醫師/門診之政策</w:t>
      </w:r>
      <w:r w:rsidR="007C40C8" w:rsidRPr="00EB4364">
        <w:rPr>
          <w:rFonts w:hint="eastAsia"/>
          <w:color w:val="auto"/>
        </w:rPr>
        <w:t>美</w:t>
      </w:r>
      <w:r w:rsidR="00834B38" w:rsidRPr="00EB4364">
        <w:rPr>
          <w:rFonts w:hint="eastAsia"/>
          <w:color w:val="auto"/>
        </w:rPr>
        <w:t>意</w:t>
      </w:r>
      <w:r w:rsidR="007C40C8" w:rsidRPr="00EB4364">
        <w:rPr>
          <w:rFonts w:hint="eastAsia"/>
          <w:color w:val="auto"/>
        </w:rPr>
        <w:t>應予肯認</w:t>
      </w:r>
      <w:r w:rsidR="00D523A4" w:rsidRPr="00EB4364">
        <w:rPr>
          <w:rFonts w:hint="eastAsia"/>
          <w:color w:val="auto"/>
        </w:rPr>
        <w:t>，</w:t>
      </w:r>
      <w:r w:rsidRPr="00EB4364">
        <w:rPr>
          <w:rFonts w:hint="eastAsia"/>
          <w:color w:val="auto"/>
        </w:rPr>
        <w:t>惟該政策</w:t>
      </w:r>
      <w:r w:rsidR="007C40C8" w:rsidRPr="00EB4364">
        <w:rPr>
          <w:rFonts w:hint="eastAsia"/>
          <w:color w:val="auto"/>
        </w:rPr>
        <w:t>執行</w:t>
      </w:r>
      <w:r w:rsidRPr="00EB4364">
        <w:rPr>
          <w:rFonts w:hint="eastAsia"/>
          <w:color w:val="auto"/>
        </w:rPr>
        <w:t>所涵蓋之醫療院所從醫學中心、區域醫院、地區醫院乃至基層診所，似</w:t>
      </w:r>
      <w:r w:rsidR="00CA01EF" w:rsidRPr="00EB4364">
        <w:rPr>
          <w:rFonts w:hint="eastAsia"/>
          <w:color w:val="auto"/>
        </w:rPr>
        <w:t>與醫療分級之目的</w:t>
      </w:r>
      <w:r w:rsidRPr="00EB4364">
        <w:rPr>
          <w:rFonts w:hint="eastAsia"/>
          <w:color w:val="auto"/>
        </w:rPr>
        <w:t>未</w:t>
      </w:r>
      <w:r w:rsidR="00CA01EF" w:rsidRPr="00EB4364">
        <w:rPr>
          <w:rFonts w:hint="eastAsia"/>
          <w:color w:val="auto"/>
        </w:rPr>
        <w:t>盡契合</w:t>
      </w:r>
      <w:r w:rsidRPr="00EB4364">
        <w:rPr>
          <w:rFonts w:hint="eastAsia"/>
          <w:color w:val="auto"/>
        </w:rPr>
        <w:t>，衛福部允宜審酌</w:t>
      </w:r>
      <w:r w:rsidR="00CA01EF" w:rsidRPr="00EB4364">
        <w:rPr>
          <w:rFonts w:hint="eastAsia"/>
          <w:color w:val="auto"/>
        </w:rPr>
        <w:t>有關青少年親善醫師/門診之</w:t>
      </w:r>
      <w:r w:rsidRPr="00EB4364">
        <w:rPr>
          <w:rFonts w:hint="eastAsia"/>
          <w:color w:val="auto"/>
        </w:rPr>
        <w:t>醫療資源</w:t>
      </w:r>
      <w:r w:rsidR="00CA01EF" w:rsidRPr="00EB4364">
        <w:rPr>
          <w:rFonts w:hint="eastAsia"/>
          <w:color w:val="auto"/>
        </w:rPr>
        <w:t>規劃</w:t>
      </w:r>
      <w:r w:rsidRPr="00EB4364">
        <w:rPr>
          <w:rFonts w:hint="eastAsia"/>
          <w:color w:val="auto"/>
        </w:rPr>
        <w:t>，並在維護青少年隱私權益下，提供安全、友善之適當醫療照顧環境</w:t>
      </w:r>
      <w:r w:rsidR="00D523A4" w:rsidRPr="00EB4364">
        <w:rPr>
          <w:rFonts w:hint="eastAsia"/>
          <w:color w:val="auto"/>
        </w:rPr>
        <w:t>，</w:t>
      </w:r>
      <w:r w:rsidRPr="00EB4364">
        <w:rPr>
          <w:rFonts w:hint="eastAsia"/>
          <w:color w:val="auto"/>
        </w:rPr>
        <w:t>切實保護青少年就</w:t>
      </w:r>
      <w:r w:rsidR="00404C84" w:rsidRPr="00EB4364">
        <w:rPr>
          <w:rFonts w:hint="eastAsia"/>
          <w:color w:val="auto"/>
        </w:rPr>
        <w:t>醫</w:t>
      </w:r>
      <w:r w:rsidR="00CA01EF" w:rsidRPr="00EB4364">
        <w:rPr>
          <w:rFonts w:hint="eastAsia"/>
          <w:color w:val="auto"/>
        </w:rPr>
        <w:t>之</w:t>
      </w:r>
      <w:r w:rsidR="00404C84" w:rsidRPr="00EB4364">
        <w:rPr>
          <w:rFonts w:hint="eastAsia"/>
          <w:color w:val="auto"/>
        </w:rPr>
        <w:t>權益。</w:t>
      </w:r>
    </w:p>
    <w:p w:rsidR="002D08C7" w:rsidRPr="00EB4364" w:rsidRDefault="0071354C" w:rsidP="002D08C7">
      <w:pPr>
        <w:pStyle w:val="3"/>
        <w:rPr>
          <w:rFonts w:hAnsi="標楷體"/>
          <w:color w:val="auto"/>
        </w:rPr>
      </w:pPr>
      <w:r w:rsidRPr="00EB4364">
        <w:rPr>
          <w:rFonts w:hAnsi="標楷體" w:hint="eastAsia"/>
          <w:color w:val="auto"/>
        </w:rPr>
        <w:t>綜上，為提升青少年健康照護服務品質，衛福部推動青少年親善醫師/門診之立意良善，</w:t>
      </w:r>
      <w:r w:rsidR="002D08C7" w:rsidRPr="00EB4364">
        <w:rPr>
          <w:rFonts w:hAnsi="標楷體" w:hint="eastAsia"/>
          <w:color w:val="auto"/>
        </w:rPr>
        <w:t>然衛福部以未強制醫療院所須提報所設青少年親善門診服務量為由，</w:t>
      </w:r>
      <w:r w:rsidR="0039575C" w:rsidRPr="00EB4364">
        <w:rPr>
          <w:rFonts w:hAnsi="標楷體" w:hint="eastAsia"/>
          <w:color w:val="auto"/>
        </w:rPr>
        <w:t>致</w:t>
      </w:r>
      <w:r w:rsidR="002D08C7" w:rsidRPr="00EB4364">
        <w:rPr>
          <w:rFonts w:hAnsi="標楷體" w:hint="eastAsia"/>
          <w:color w:val="auto"/>
        </w:rPr>
        <w:t>無法確實掌握青少年親善門診之服務情形及成效，迨本院調查詢問後始辦理相關業務之基礎統計，又統計結果顯示105年80家青少年親善門診中有25家服務人次為0人、12家則無提報相關數據，縱其政策立意良善，但執行成效不彰，徒具形式，顯有怠失。</w:t>
      </w:r>
    </w:p>
    <w:p w:rsidR="000B5B53" w:rsidRPr="00EB4364" w:rsidRDefault="0039575C" w:rsidP="000B5B53">
      <w:pPr>
        <w:pStyle w:val="2"/>
        <w:rPr>
          <w:rFonts w:hAnsi="標楷體"/>
          <w:b/>
        </w:rPr>
      </w:pPr>
      <w:r w:rsidRPr="00EB4364">
        <w:rPr>
          <w:rFonts w:hAnsi="標楷體" w:hint="eastAsia"/>
          <w:b/>
        </w:rPr>
        <w:t>我國</w:t>
      </w:r>
      <w:r w:rsidR="003919ED" w:rsidRPr="00EB4364">
        <w:rPr>
          <w:rFonts w:hAnsi="標楷體" w:hint="eastAsia"/>
          <w:b/>
        </w:rPr>
        <w:t>未成年</w:t>
      </w:r>
      <w:r w:rsidR="00081CB5" w:rsidRPr="00EB4364">
        <w:rPr>
          <w:rFonts w:hAnsi="標楷體" w:hint="eastAsia"/>
          <w:b/>
        </w:rPr>
        <w:t>少女</w:t>
      </w:r>
      <w:r w:rsidR="003919ED" w:rsidRPr="00EB4364">
        <w:rPr>
          <w:rFonts w:hAnsi="標楷體" w:hint="eastAsia"/>
          <w:b/>
        </w:rPr>
        <w:t>懷孕生子後選擇留養人數愈趨增</w:t>
      </w:r>
      <w:r w:rsidR="003A79A5" w:rsidRPr="00EB4364">
        <w:rPr>
          <w:rFonts w:hAnsi="標楷體" w:hint="eastAsia"/>
          <w:b/>
        </w:rPr>
        <w:t>長</w:t>
      </w:r>
      <w:r w:rsidR="003919ED" w:rsidRPr="00EB4364">
        <w:rPr>
          <w:rFonts w:hAnsi="標楷體" w:hint="eastAsia"/>
          <w:b/>
        </w:rPr>
        <w:t>，</w:t>
      </w:r>
      <w:r w:rsidR="005032A7" w:rsidRPr="00EB4364">
        <w:rPr>
          <w:rFonts w:hAnsi="標楷體" w:hint="eastAsia"/>
          <w:b/>
        </w:rPr>
        <w:t>惟各地方政府對於因懷孕或生育而遭遇困境之兒少及其子女，所提供之服務</w:t>
      </w:r>
      <w:r w:rsidR="005032A7" w:rsidRPr="00EB4364">
        <w:rPr>
          <w:rFonts w:hAnsi="標楷體"/>
          <w:b/>
        </w:rPr>
        <w:t>資源</w:t>
      </w:r>
      <w:r w:rsidR="005032A7" w:rsidRPr="00EB4364">
        <w:rPr>
          <w:rFonts w:hAnsi="標楷體" w:hint="eastAsia"/>
          <w:b/>
        </w:rPr>
        <w:t>杯水車薪，無法有效維護選擇留養孩子的兒少權益，</w:t>
      </w:r>
      <w:r w:rsidR="003919ED" w:rsidRPr="00EB4364">
        <w:rPr>
          <w:rFonts w:hAnsi="標楷體" w:hint="eastAsia"/>
          <w:b/>
        </w:rPr>
        <w:t>行政院允宜督促所屬</w:t>
      </w:r>
      <w:r w:rsidR="005032A7" w:rsidRPr="00EB4364">
        <w:rPr>
          <w:rFonts w:hAnsi="標楷體" w:hint="eastAsia"/>
          <w:b/>
        </w:rPr>
        <w:t>對</w:t>
      </w:r>
      <w:r w:rsidR="005032A7" w:rsidRPr="00EB4364">
        <w:rPr>
          <w:rFonts w:hAnsi="標楷體" w:hint="eastAsia"/>
          <w:b/>
        </w:rPr>
        <w:lastRenderedPageBreak/>
        <w:t>是類兒少及其子女之</w:t>
      </w:r>
      <w:r w:rsidR="003919ED" w:rsidRPr="00EB4364">
        <w:rPr>
          <w:rFonts w:hAnsi="標楷體" w:hint="eastAsia"/>
          <w:b/>
        </w:rPr>
        <w:t>後續服務處遇及新生兒安置情形加以檢討並研議因應措施，以維護兒童及青少年</w:t>
      </w:r>
      <w:r w:rsidR="00872B88" w:rsidRPr="00EB4364">
        <w:rPr>
          <w:rFonts w:hAnsi="標楷體" w:hint="eastAsia"/>
          <w:b/>
        </w:rPr>
        <w:t>健康成長及其人格</w:t>
      </w:r>
      <w:r w:rsidR="00D60556" w:rsidRPr="00EB4364">
        <w:rPr>
          <w:rFonts w:hAnsi="標楷體" w:hint="eastAsia"/>
          <w:b/>
        </w:rPr>
        <w:t>和諧發展之權益</w:t>
      </w:r>
    </w:p>
    <w:p w:rsidR="00EC28C6" w:rsidRPr="00EB4364" w:rsidRDefault="00F3131C" w:rsidP="00EC28C6">
      <w:pPr>
        <w:pStyle w:val="3"/>
        <w:rPr>
          <w:rFonts w:hAnsi="標楷體"/>
          <w:color w:val="auto"/>
        </w:rPr>
      </w:pPr>
      <w:r w:rsidRPr="00EB4364">
        <w:rPr>
          <w:rFonts w:hint="eastAsia"/>
          <w:color w:val="auto"/>
        </w:rPr>
        <w:t>按聯合國兒童權利公約及我國社會福利政策綱領均明確揭示，家庭為社會之基本團體，兒童及少年應於家庭環境中受到照顧與保護為優先原則，以利其健康成長及其人格得到和諧發展。然而，</w:t>
      </w:r>
      <w:r w:rsidR="00C6561D" w:rsidRPr="00EB4364">
        <w:rPr>
          <w:rFonts w:hint="eastAsia"/>
          <w:color w:val="auto"/>
        </w:rPr>
        <w:t>國內未成年少女懷孕</w:t>
      </w:r>
      <w:r w:rsidR="006167BB" w:rsidRPr="00EB4364">
        <w:rPr>
          <w:rFonts w:hint="eastAsia"/>
          <w:color w:val="auto"/>
        </w:rPr>
        <w:t>及生子</w:t>
      </w:r>
      <w:r w:rsidR="00C6561D" w:rsidRPr="00EB4364">
        <w:rPr>
          <w:rFonts w:hint="eastAsia"/>
          <w:color w:val="auto"/>
        </w:rPr>
        <w:t>事件頻傳，每年</w:t>
      </w:r>
      <w:r w:rsidR="006167BB" w:rsidRPr="00EB4364">
        <w:rPr>
          <w:rFonts w:hint="eastAsia"/>
          <w:color w:val="auto"/>
        </w:rPr>
        <w:t>均</w:t>
      </w:r>
      <w:r w:rsidR="00C6561D" w:rsidRPr="00EB4364">
        <w:rPr>
          <w:rFonts w:hint="eastAsia"/>
          <w:color w:val="auto"/>
        </w:rPr>
        <w:t>約有3,000名新生兒由未成年</w:t>
      </w:r>
      <w:r w:rsidR="007C07A8" w:rsidRPr="00EB4364">
        <w:rPr>
          <w:rFonts w:hint="eastAsia"/>
          <w:color w:val="auto"/>
        </w:rPr>
        <w:t>產母</w:t>
      </w:r>
      <w:r w:rsidR="00C6561D" w:rsidRPr="00EB4364">
        <w:rPr>
          <w:rFonts w:hint="eastAsia"/>
          <w:color w:val="auto"/>
        </w:rPr>
        <w:t>所生，而選擇留養的人數</w:t>
      </w:r>
      <w:r w:rsidR="006167BB" w:rsidRPr="00EB4364">
        <w:rPr>
          <w:rFonts w:hint="eastAsia"/>
          <w:color w:val="auto"/>
        </w:rPr>
        <w:t>正</w:t>
      </w:r>
      <w:r w:rsidR="00C6561D" w:rsidRPr="00EB4364">
        <w:rPr>
          <w:rFonts w:hint="eastAsia"/>
          <w:color w:val="auto"/>
        </w:rPr>
        <w:t>逐年攀升，</w:t>
      </w:r>
      <w:r w:rsidR="00EC28C6" w:rsidRPr="00EB4364">
        <w:rPr>
          <w:rFonts w:hAnsi="標楷體" w:hint="eastAsia"/>
          <w:color w:val="auto"/>
        </w:rPr>
        <w:t>對相關社會福利資源的需求亦相對應增加。</w:t>
      </w:r>
    </w:p>
    <w:p w:rsidR="004D6549" w:rsidRPr="00EB4364" w:rsidRDefault="004D6549" w:rsidP="00C6561D">
      <w:pPr>
        <w:pStyle w:val="3"/>
        <w:rPr>
          <w:rFonts w:hAnsi="標楷體"/>
          <w:color w:val="auto"/>
        </w:rPr>
      </w:pPr>
      <w:r w:rsidRPr="00EB4364">
        <w:rPr>
          <w:rFonts w:hAnsi="標楷體" w:hint="eastAsia"/>
          <w:bCs w:val="0"/>
          <w:noProof/>
          <w:color w:val="auto"/>
          <w:sz w:val="24"/>
          <w:szCs w:val="24"/>
        </w:rPr>
        <w:drawing>
          <wp:anchor distT="0" distB="0" distL="114300" distR="114300" simplePos="0" relativeHeight="251665408" behindDoc="0" locked="0" layoutInCell="1" allowOverlap="1" wp14:anchorId="3FC998CA" wp14:editId="33F762E9">
            <wp:simplePos x="0" y="0"/>
            <wp:positionH relativeFrom="column">
              <wp:posOffset>504825</wp:posOffset>
            </wp:positionH>
            <wp:positionV relativeFrom="paragraph">
              <wp:posOffset>975995</wp:posOffset>
            </wp:positionV>
            <wp:extent cx="5071745" cy="2371725"/>
            <wp:effectExtent l="0" t="0" r="14605" b="9525"/>
            <wp:wrapTopAndBottom/>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3131C" w:rsidRPr="00EB4364">
        <w:rPr>
          <w:rFonts w:hAnsi="標楷體" w:hint="eastAsia"/>
          <w:color w:val="auto"/>
        </w:rPr>
        <w:t>據</w:t>
      </w:r>
      <w:r w:rsidR="006167BB" w:rsidRPr="00EB4364">
        <w:rPr>
          <w:rFonts w:hAnsi="標楷體" w:hint="eastAsia"/>
          <w:color w:val="auto"/>
        </w:rPr>
        <w:t>衛福部</w:t>
      </w:r>
      <w:r w:rsidR="00C6561D" w:rsidRPr="00EB4364">
        <w:rPr>
          <w:rFonts w:hAnsi="標楷體" w:hint="eastAsia"/>
          <w:color w:val="auto"/>
        </w:rPr>
        <w:t>函復</w:t>
      </w:r>
      <w:r w:rsidR="006167BB" w:rsidRPr="00EB4364">
        <w:rPr>
          <w:rFonts w:hAnsi="標楷體" w:hint="eastAsia"/>
          <w:color w:val="auto"/>
        </w:rPr>
        <w:t>本院</w:t>
      </w:r>
      <w:r w:rsidR="00C6561D" w:rsidRPr="00EB4364">
        <w:rPr>
          <w:rFonts w:hAnsi="標楷體" w:hint="eastAsia"/>
          <w:color w:val="auto"/>
        </w:rPr>
        <w:t>資料，</w:t>
      </w:r>
      <w:r w:rsidR="00D60556" w:rsidRPr="00EB4364">
        <w:rPr>
          <w:rFonts w:hAnsi="標楷體" w:hint="eastAsia"/>
          <w:color w:val="auto"/>
        </w:rPr>
        <w:t>我國</w:t>
      </w:r>
      <w:r w:rsidR="006167BB" w:rsidRPr="00EB4364">
        <w:rPr>
          <w:rFonts w:hAnsi="標楷體" w:hint="eastAsia"/>
          <w:color w:val="auto"/>
        </w:rPr>
        <w:t>近3年</w:t>
      </w:r>
      <w:r w:rsidR="00535FA4" w:rsidRPr="00EB4364">
        <w:rPr>
          <w:rFonts w:hAnsi="標楷體" w:hint="eastAsia"/>
          <w:color w:val="auto"/>
        </w:rPr>
        <w:t>未成年少女懷孕之新生兒處遇情形如下圖</w:t>
      </w:r>
      <w:r w:rsidR="00C6561D" w:rsidRPr="00EB4364">
        <w:rPr>
          <w:rFonts w:hAnsi="標楷體" w:hint="eastAsia"/>
          <w:color w:val="auto"/>
        </w:rPr>
        <w:t>：</w:t>
      </w:r>
      <w:r w:rsidRPr="00EB4364">
        <w:rPr>
          <w:rFonts w:hAnsi="標楷體" w:hint="eastAsia"/>
          <w:color w:val="auto"/>
        </w:rPr>
        <w:t xml:space="preserve"> </w:t>
      </w:r>
    </w:p>
    <w:p w:rsidR="00C6561D" w:rsidRPr="00EB4364" w:rsidRDefault="004D6549" w:rsidP="004D6549">
      <w:pPr>
        <w:pStyle w:val="3"/>
        <w:numPr>
          <w:ilvl w:val="0"/>
          <w:numId w:val="0"/>
        </w:numPr>
        <w:ind w:left="1360"/>
        <w:rPr>
          <w:rFonts w:hAnsi="標楷體"/>
          <w:color w:val="auto"/>
          <w:sz w:val="24"/>
        </w:rPr>
      </w:pPr>
      <w:r w:rsidRPr="00EB4364">
        <w:rPr>
          <w:rFonts w:hAnsi="標楷體" w:hint="eastAsia"/>
          <w:color w:val="auto"/>
        </w:rPr>
        <w:t xml:space="preserve">                                </w:t>
      </w:r>
      <w:r w:rsidRPr="00EB4364">
        <w:rPr>
          <w:rFonts w:hAnsi="標楷體" w:hint="eastAsia"/>
          <w:color w:val="auto"/>
          <w:sz w:val="24"/>
        </w:rPr>
        <w:t>（單位：人次）</w:t>
      </w:r>
    </w:p>
    <w:p w:rsidR="00CA68CE" w:rsidRPr="00EB4364" w:rsidRDefault="00CA68CE" w:rsidP="00CA68CE">
      <w:pPr>
        <w:pStyle w:val="a1"/>
        <w:rPr>
          <w:sz w:val="24"/>
          <w:szCs w:val="24"/>
        </w:rPr>
      </w:pPr>
      <w:r w:rsidRPr="00EB4364">
        <w:rPr>
          <w:rFonts w:hint="eastAsia"/>
        </w:rPr>
        <w:t>103至105年</w:t>
      </w:r>
      <w:r w:rsidR="00764B73" w:rsidRPr="00EB4364">
        <w:rPr>
          <w:rFonts w:hint="eastAsia"/>
        </w:rPr>
        <w:t>我國</w:t>
      </w:r>
      <w:r w:rsidRPr="00EB4364">
        <w:rPr>
          <w:rFonts w:hint="eastAsia"/>
        </w:rPr>
        <w:t>未成年少女懷孕新生兒處遇規劃人次</w:t>
      </w:r>
    </w:p>
    <w:p w:rsidR="00C6561D" w:rsidRPr="00EB4364" w:rsidRDefault="00234C92" w:rsidP="00234C92">
      <w:pPr>
        <w:outlineLvl w:val="2"/>
        <w:rPr>
          <w:rFonts w:hAnsi="標楷體"/>
          <w:bCs/>
          <w:kern w:val="32"/>
          <w:sz w:val="28"/>
          <w:szCs w:val="24"/>
        </w:rPr>
      </w:pPr>
      <w:r w:rsidRPr="00EB4364">
        <w:rPr>
          <w:rFonts w:hAnsi="標楷體" w:hint="eastAsia"/>
          <w:bCs/>
          <w:kern w:val="32"/>
          <w:sz w:val="28"/>
          <w:szCs w:val="24"/>
        </w:rPr>
        <w:t xml:space="preserve">      </w:t>
      </w:r>
      <w:r w:rsidR="00C6561D" w:rsidRPr="00EB4364">
        <w:rPr>
          <w:rFonts w:hAnsi="標楷體" w:hint="eastAsia"/>
          <w:bCs/>
          <w:kern w:val="32"/>
          <w:sz w:val="28"/>
          <w:szCs w:val="24"/>
        </w:rPr>
        <w:t>資料來源：</w:t>
      </w:r>
      <w:r w:rsidR="005B413F" w:rsidRPr="00EB4364">
        <w:rPr>
          <w:rFonts w:hAnsi="標楷體" w:hint="eastAsia"/>
          <w:bCs/>
          <w:kern w:val="32"/>
          <w:sz w:val="28"/>
          <w:szCs w:val="24"/>
        </w:rPr>
        <w:t>衛福部106年4月11日衛授國字第1060400804號函</w:t>
      </w:r>
      <w:r w:rsidR="00C6561D" w:rsidRPr="00EB4364">
        <w:rPr>
          <w:rFonts w:hAnsi="標楷體" w:hint="eastAsia"/>
          <w:bCs/>
          <w:kern w:val="32"/>
          <w:sz w:val="28"/>
          <w:szCs w:val="24"/>
        </w:rPr>
        <w:t>。</w:t>
      </w:r>
    </w:p>
    <w:p w:rsidR="008F144E" w:rsidRPr="00EB4364" w:rsidRDefault="00CC1F9B" w:rsidP="008F144E">
      <w:pPr>
        <w:pStyle w:val="4"/>
        <w:rPr>
          <w:rFonts w:hAnsi="標楷體"/>
        </w:rPr>
      </w:pPr>
      <w:r w:rsidRPr="00EB4364">
        <w:rPr>
          <w:rFonts w:hAnsi="標楷體" w:hint="eastAsia"/>
          <w:bCs/>
        </w:rPr>
        <w:t>由上圖</w:t>
      </w:r>
      <w:r w:rsidR="00CA4FD5" w:rsidRPr="00EB4364">
        <w:rPr>
          <w:rFonts w:hAnsi="標楷體" w:hint="eastAsia"/>
          <w:bCs/>
        </w:rPr>
        <w:t>可知，近3年規劃出養者約占7%至8%，各年度尚無明顯差異；而規劃留養者，103年218人</w:t>
      </w:r>
      <w:r w:rsidR="006167BB" w:rsidRPr="00EB4364">
        <w:rPr>
          <w:rFonts w:hAnsi="標楷體" w:hint="eastAsia"/>
          <w:bCs/>
        </w:rPr>
        <w:t>及</w:t>
      </w:r>
      <w:r w:rsidR="00CA4FD5" w:rsidRPr="00EB4364">
        <w:rPr>
          <w:rFonts w:hAnsi="標楷體" w:hint="eastAsia"/>
          <w:bCs/>
        </w:rPr>
        <w:t>104年351人，呈微幅增長，惟105年上升至</w:t>
      </w:r>
      <w:r w:rsidR="006167BB" w:rsidRPr="00EB4364">
        <w:rPr>
          <w:rFonts w:hAnsi="標楷體" w:hint="eastAsia"/>
          <w:bCs/>
        </w:rPr>
        <w:t>598人</w:t>
      </w:r>
      <w:r w:rsidR="00CA4FD5" w:rsidRPr="00EB4364">
        <w:rPr>
          <w:rFonts w:hAnsi="標楷體" w:hint="eastAsia"/>
          <w:bCs/>
        </w:rPr>
        <w:t>，</w:t>
      </w:r>
      <w:r w:rsidR="00B1055F" w:rsidRPr="00EB4364">
        <w:rPr>
          <w:rFonts w:hAnsi="標楷體" w:hint="eastAsia"/>
          <w:bCs/>
        </w:rPr>
        <w:t>占該年度近7成，</w:t>
      </w:r>
      <w:r w:rsidR="00CA4FD5" w:rsidRPr="00EB4364">
        <w:rPr>
          <w:rFonts w:hAnsi="標楷體" w:hint="eastAsia"/>
          <w:bCs/>
        </w:rPr>
        <w:t>較以往年度有顯著增加</w:t>
      </w:r>
      <w:r w:rsidR="008F144E" w:rsidRPr="00EB4364">
        <w:rPr>
          <w:rFonts w:hAnsi="標楷體" w:hint="eastAsia"/>
        </w:rPr>
        <w:t>。</w:t>
      </w:r>
    </w:p>
    <w:p w:rsidR="008F144E" w:rsidRPr="00EB4364" w:rsidRDefault="00CA4FD5" w:rsidP="008F144E">
      <w:pPr>
        <w:pStyle w:val="4"/>
        <w:rPr>
          <w:rFonts w:hAnsi="標楷體"/>
        </w:rPr>
      </w:pPr>
      <w:r w:rsidRPr="00EB4364">
        <w:rPr>
          <w:rFonts w:hAnsi="標楷體" w:hint="eastAsia"/>
        </w:rPr>
        <w:t>復依</w:t>
      </w:r>
      <w:r w:rsidR="004A766C" w:rsidRPr="00EB4364">
        <w:rPr>
          <w:rFonts w:hAnsi="標楷體" w:hint="eastAsia"/>
        </w:rPr>
        <w:t>本院106年3月17日諮詢會議，勵馨基金會曹宜蓁總督導表示：「……目前臺灣每年有3,000多</w:t>
      </w:r>
      <w:r w:rsidR="004A766C" w:rsidRPr="00EB4364">
        <w:rPr>
          <w:rFonts w:hAnsi="標楷體" w:hint="eastAsia"/>
        </w:rPr>
        <w:lastRenderedPageBreak/>
        <w:t>名少女懷孕</w:t>
      </w:r>
      <w:r w:rsidR="000136D9" w:rsidRPr="00EB4364">
        <w:rPr>
          <w:rFonts w:hAnsi="標楷體" w:hint="eastAsia"/>
        </w:rPr>
        <w:t>生子</w:t>
      </w:r>
      <w:r w:rsidR="004A766C" w:rsidRPr="00EB4364">
        <w:rPr>
          <w:rFonts w:hAnsi="標楷體" w:hint="eastAsia"/>
        </w:rPr>
        <w:t>，勵馨服務其中將近10%的孩子，去(105)年我們增加服務據點後，發現有需求的人增加了。以往出養率比較高，但近年來反而是留養率增加。當成為小母親角色時，那時所需的資源更多……」</w:t>
      </w:r>
      <w:r w:rsidR="00954728" w:rsidRPr="00EB4364">
        <w:rPr>
          <w:rFonts w:hAnsi="標楷體" w:hint="eastAsia"/>
        </w:rPr>
        <w:t>足見未成年</w:t>
      </w:r>
      <w:r w:rsidR="00081CB5" w:rsidRPr="00EB4364">
        <w:rPr>
          <w:rFonts w:hAnsi="標楷體" w:hint="eastAsia"/>
        </w:rPr>
        <w:t>少女</w:t>
      </w:r>
      <w:r w:rsidR="00954728" w:rsidRPr="00EB4364">
        <w:rPr>
          <w:rFonts w:hAnsi="標楷體" w:hint="eastAsia"/>
        </w:rPr>
        <w:t>懷孕生子後，選擇留養的人數</w:t>
      </w:r>
      <w:r w:rsidR="00E31A72" w:rsidRPr="00EB4364">
        <w:rPr>
          <w:rFonts w:hAnsi="標楷體" w:hint="eastAsia"/>
        </w:rPr>
        <w:t>愈</w:t>
      </w:r>
      <w:r w:rsidR="00954728" w:rsidRPr="00EB4364">
        <w:rPr>
          <w:rFonts w:hAnsi="標楷體" w:hint="eastAsia"/>
        </w:rPr>
        <w:t>趨增</w:t>
      </w:r>
      <w:r w:rsidR="00E31A72" w:rsidRPr="00EB4364">
        <w:rPr>
          <w:rFonts w:hAnsi="標楷體" w:hint="eastAsia"/>
        </w:rPr>
        <w:t>加</w:t>
      </w:r>
      <w:r w:rsidR="00954728" w:rsidRPr="00EB4364">
        <w:rPr>
          <w:rFonts w:hAnsi="標楷體" w:hint="eastAsia"/>
        </w:rPr>
        <w:t>，</w:t>
      </w:r>
      <w:r w:rsidR="00E31A72" w:rsidRPr="00EB4364">
        <w:rPr>
          <w:rFonts w:hAnsi="標楷體" w:hint="eastAsia"/>
        </w:rPr>
        <w:t>亦將影響政府在相關社會福利資源上之配置</w:t>
      </w:r>
      <w:r w:rsidR="006D19EA" w:rsidRPr="00EB4364">
        <w:rPr>
          <w:rFonts w:hAnsi="標楷體" w:hint="eastAsia"/>
        </w:rPr>
        <w:t>。</w:t>
      </w:r>
    </w:p>
    <w:p w:rsidR="009C1477" w:rsidRPr="00EB4364" w:rsidRDefault="00CA4FD5" w:rsidP="008F144E">
      <w:pPr>
        <w:pStyle w:val="4"/>
        <w:rPr>
          <w:rFonts w:hAnsi="標楷體"/>
        </w:rPr>
      </w:pPr>
      <w:r w:rsidRPr="00EB4364">
        <w:rPr>
          <w:rFonts w:hAnsi="標楷體" w:hint="eastAsia"/>
        </w:rPr>
        <w:t>惟據</w:t>
      </w:r>
      <w:r w:rsidR="00261657" w:rsidRPr="00EB4364">
        <w:rPr>
          <w:rFonts w:hAnsi="標楷體" w:hint="eastAsia"/>
        </w:rPr>
        <w:t>衛福部</w:t>
      </w:r>
      <w:r w:rsidRPr="00EB4364">
        <w:rPr>
          <w:rFonts w:hAnsi="標楷體" w:hint="eastAsia"/>
        </w:rPr>
        <w:t>社家署統計</w:t>
      </w:r>
      <w:r w:rsidR="003343A6" w:rsidRPr="00EB4364">
        <w:rPr>
          <w:rFonts w:hAnsi="標楷體" w:hint="eastAsia"/>
        </w:rPr>
        <w:t>，</w:t>
      </w:r>
      <w:r w:rsidR="009C1477" w:rsidRPr="00EB4364">
        <w:rPr>
          <w:rFonts w:hAnsi="標楷體" w:hint="eastAsia"/>
        </w:rPr>
        <w:t>103年至105年度各地方政府社政主管機關辦理未成年</w:t>
      </w:r>
      <w:r w:rsidR="00081CB5" w:rsidRPr="00EB4364">
        <w:rPr>
          <w:rFonts w:hAnsi="標楷體" w:hint="eastAsia"/>
        </w:rPr>
        <w:t>少女</w:t>
      </w:r>
      <w:r w:rsidR="009C1477" w:rsidRPr="00EB4364">
        <w:rPr>
          <w:rFonts w:hAnsi="標楷體" w:hint="eastAsia"/>
        </w:rPr>
        <w:t>懷孕個案管理服務，出養服務受益人次（包括諮詢、會談及轉介收出養媒合服務機構等）各為66、96及284人，與上揭</w:t>
      </w:r>
      <w:r w:rsidR="003343A6" w:rsidRPr="00EB4364">
        <w:rPr>
          <w:rFonts w:hAnsi="標楷體" w:hint="eastAsia"/>
        </w:rPr>
        <w:t>各同年度之規劃出養人數</w:t>
      </w:r>
      <w:r w:rsidR="003A555B" w:rsidRPr="00EB4364">
        <w:rPr>
          <w:rFonts w:hAnsi="標楷體" w:hint="eastAsia"/>
        </w:rPr>
        <w:t>統計</w:t>
      </w:r>
      <w:r w:rsidR="003343A6" w:rsidRPr="00EB4364">
        <w:rPr>
          <w:rFonts w:hAnsi="標楷體" w:hint="eastAsia"/>
        </w:rPr>
        <w:t>（35、48、71人）差異甚大，</w:t>
      </w:r>
      <w:r w:rsidR="003A555B" w:rsidRPr="00EB4364">
        <w:rPr>
          <w:rFonts w:hAnsi="標楷體" w:hint="eastAsia"/>
        </w:rPr>
        <w:t>相關</w:t>
      </w:r>
      <w:r w:rsidR="003343A6" w:rsidRPr="00EB4364">
        <w:rPr>
          <w:rFonts w:hAnsi="標楷體" w:hint="eastAsia"/>
        </w:rPr>
        <w:t>數據統計雖能呈現趨勢，但</w:t>
      </w:r>
      <w:r w:rsidR="003A555B" w:rsidRPr="00EB4364">
        <w:rPr>
          <w:rFonts w:hAnsi="標楷體" w:hint="eastAsia"/>
        </w:rPr>
        <w:t>對</w:t>
      </w:r>
      <w:r w:rsidR="003343A6" w:rsidRPr="00EB4364">
        <w:rPr>
          <w:rFonts w:hAnsi="標楷體" w:hint="eastAsia"/>
        </w:rPr>
        <w:t>同一事實數據無法</w:t>
      </w:r>
      <w:r w:rsidR="008F144E" w:rsidRPr="00EB4364">
        <w:rPr>
          <w:rFonts w:hAnsi="標楷體" w:hint="eastAsia"/>
        </w:rPr>
        <w:t>相互勾稽</w:t>
      </w:r>
      <w:r w:rsidR="003A555B" w:rsidRPr="00EB4364">
        <w:rPr>
          <w:rFonts w:hAnsi="標楷體" w:hint="eastAsia"/>
        </w:rPr>
        <w:t>，亦缺乏有關數值差異之原因分析</w:t>
      </w:r>
      <w:r w:rsidR="008F144E" w:rsidRPr="00EB4364">
        <w:rPr>
          <w:rFonts w:hAnsi="標楷體" w:hint="eastAsia"/>
        </w:rPr>
        <w:t>。</w:t>
      </w:r>
    </w:p>
    <w:p w:rsidR="00C249AF" w:rsidRPr="00EB4364" w:rsidRDefault="004A4724" w:rsidP="00265C98">
      <w:pPr>
        <w:pStyle w:val="3"/>
        <w:rPr>
          <w:rFonts w:hAnsi="標楷體"/>
          <w:color w:val="auto"/>
        </w:rPr>
      </w:pPr>
      <w:r w:rsidRPr="00EB4364">
        <w:rPr>
          <w:rFonts w:hAnsi="標楷體" w:hint="eastAsia"/>
          <w:color w:val="auto"/>
        </w:rPr>
        <w:t>此外，</w:t>
      </w:r>
      <w:r w:rsidR="009A6BEC" w:rsidRPr="00EB4364">
        <w:rPr>
          <w:rFonts w:hAnsi="標楷體" w:hint="eastAsia"/>
          <w:color w:val="auto"/>
        </w:rPr>
        <w:t>各地方社政主管機關提供經濟協助部分，各地方政府對於因懷孕或生育而遭遇困境之兒少及其子女，均得依其家庭經濟狀況，提供「低收入戶/ 中低收入戶生活扶助」、「弱勢兒童及少年生活扶助」、「弱勢家庭兒童及少年緊急生活扶助」、「中低收入戶兒童及少年健保費補助」、「弱勢兒童及少年醫療補助」、「育兒津貼」及「特殊境遇家庭扶助」等補助，惟因上開扶助之補助對象非以未成年</w:t>
      </w:r>
      <w:r w:rsidR="00081CB5" w:rsidRPr="00EB4364">
        <w:rPr>
          <w:rFonts w:hAnsi="標楷體" w:hint="eastAsia"/>
          <w:color w:val="auto"/>
        </w:rPr>
        <w:t>少女懷孕</w:t>
      </w:r>
      <w:r w:rsidR="009A6BEC" w:rsidRPr="00EB4364">
        <w:rPr>
          <w:rFonts w:hAnsi="標楷體" w:hint="eastAsia"/>
          <w:color w:val="auto"/>
        </w:rPr>
        <w:t>為限，</w:t>
      </w:r>
      <w:r w:rsidR="00197315" w:rsidRPr="00EB4364">
        <w:rPr>
          <w:rFonts w:hAnsi="標楷體" w:hint="eastAsia"/>
          <w:color w:val="auto"/>
        </w:rPr>
        <w:t>因此</w:t>
      </w:r>
      <w:r w:rsidR="009A6BEC" w:rsidRPr="00EB4364">
        <w:rPr>
          <w:rFonts w:hAnsi="標楷體" w:hint="eastAsia"/>
          <w:color w:val="auto"/>
        </w:rPr>
        <w:t>並無針對未滿20歲申請者之統計數據。而有關「特殊境遇家庭扶助」部分，查105年未滿20歲且以未婚懷孕事由申請扶助者計326人</w:t>
      </w:r>
      <w:r w:rsidR="008F144E" w:rsidRPr="00EB4364">
        <w:rPr>
          <w:rFonts w:hAnsi="標楷體" w:hint="eastAsia"/>
          <w:color w:val="auto"/>
        </w:rPr>
        <w:t>；</w:t>
      </w:r>
      <w:r w:rsidR="009A6BEC" w:rsidRPr="00EB4364">
        <w:rPr>
          <w:rFonts w:hAnsi="標楷體" w:hint="eastAsia"/>
          <w:color w:val="auto"/>
        </w:rPr>
        <w:t>安置及輔導部分，至105年止，計有6所婦嬰安置教養機構，可安置懷孕少女</w:t>
      </w:r>
      <w:r w:rsidR="00197315" w:rsidRPr="00EB4364">
        <w:rPr>
          <w:rFonts w:hAnsi="標楷體" w:hint="eastAsia"/>
          <w:color w:val="auto"/>
        </w:rPr>
        <w:t>共</w:t>
      </w:r>
      <w:r w:rsidR="009A6BEC" w:rsidRPr="00EB4364">
        <w:rPr>
          <w:rFonts w:hAnsi="標楷體" w:hint="eastAsia"/>
          <w:color w:val="auto"/>
        </w:rPr>
        <w:t>59人；</w:t>
      </w:r>
      <w:r w:rsidR="00B44599" w:rsidRPr="00EB4364">
        <w:rPr>
          <w:rFonts w:hAnsi="標楷體" w:hint="eastAsia"/>
          <w:color w:val="auto"/>
        </w:rPr>
        <w:t>另有</w:t>
      </w:r>
      <w:r w:rsidR="009A6BEC" w:rsidRPr="00EB4364">
        <w:rPr>
          <w:rFonts w:hAnsi="標楷體" w:hint="eastAsia"/>
          <w:color w:val="auto"/>
        </w:rPr>
        <w:t>9家收出養媒合服務機構(13個服務處所)，可提供收出養服務。惟是類機構之服務對象非以未成年</w:t>
      </w:r>
      <w:r w:rsidR="00081CB5" w:rsidRPr="00EB4364">
        <w:rPr>
          <w:rFonts w:hAnsi="標楷體" w:hint="eastAsia"/>
          <w:color w:val="auto"/>
        </w:rPr>
        <w:t>少女</w:t>
      </w:r>
      <w:r w:rsidR="009A6BEC" w:rsidRPr="00EB4364">
        <w:rPr>
          <w:rFonts w:hAnsi="標楷體" w:hint="eastAsia"/>
          <w:color w:val="auto"/>
        </w:rPr>
        <w:t>懷孕為限，</w:t>
      </w:r>
      <w:r w:rsidR="00197315" w:rsidRPr="00EB4364">
        <w:rPr>
          <w:rFonts w:hAnsi="標楷體" w:hint="eastAsia"/>
          <w:color w:val="auto"/>
        </w:rPr>
        <w:t>因此</w:t>
      </w:r>
      <w:r w:rsidR="009A6BEC" w:rsidRPr="00EB4364">
        <w:rPr>
          <w:rFonts w:hAnsi="標楷體" w:hint="eastAsia"/>
          <w:color w:val="auto"/>
        </w:rPr>
        <w:t>並無</w:t>
      </w:r>
      <w:r w:rsidR="009A6BEC" w:rsidRPr="00EB4364">
        <w:rPr>
          <w:rFonts w:hAnsi="標楷體" w:hint="eastAsia"/>
          <w:color w:val="auto"/>
        </w:rPr>
        <w:lastRenderedPageBreak/>
        <w:t>針對未滿20歲申請者之</w:t>
      </w:r>
      <w:r w:rsidR="00E31A72" w:rsidRPr="00EB4364">
        <w:rPr>
          <w:rFonts w:hAnsi="標楷體" w:hint="eastAsia"/>
          <w:color w:val="auto"/>
        </w:rPr>
        <w:t>相關</w:t>
      </w:r>
      <w:r w:rsidR="009A6BEC" w:rsidRPr="00EB4364">
        <w:rPr>
          <w:rFonts w:hAnsi="標楷體" w:hint="eastAsia"/>
          <w:color w:val="auto"/>
        </w:rPr>
        <w:t>統計數據。</w:t>
      </w:r>
    </w:p>
    <w:p w:rsidR="000659E3" w:rsidRPr="00EB4364" w:rsidRDefault="00C249AF" w:rsidP="00365812">
      <w:pPr>
        <w:pStyle w:val="3"/>
        <w:rPr>
          <w:color w:val="auto"/>
        </w:rPr>
      </w:pPr>
      <w:r w:rsidRPr="00EB4364">
        <w:rPr>
          <w:rFonts w:hint="eastAsia"/>
          <w:color w:val="auto"/>
        </w:rPr>
        <w:t>承上</w:t>
      </w:r>
      <w:r w:rsidR="000B5B53" w:rsidRPr="00EB4364">
        <w:rPr>
          <w:rFonts w:hint="eastAsia"/>
          <w:color w:val="auto"/>
        </w:rPr>
        <w:t>，</w:t>
      </w:r>
      <w:r w:rsidR="009A6BEC" w:rsidRPr="00EB4364">
        <w:rPr>
          <w:rFonts w:hint="eastAsia"/>
          <w:color w:val="auto"/>
        </w:rPr>
        <w:t>各地方政府對於因懷孕或生育而遭遇困境之兒少及其子女</w:t>
      </w:r>
      <w:r w:rsidR="008F144E" w:rsidRPr="00EB4364">
        <w:rPr>
          <w:rFonts w:hint="eastAsia"/>
          <w:color w:val="auto"/>
        </w:rPr>
        <w:t>，所提供之</w:t>
      </w:r>
      <w:r w:rsidR="008F144E" w:rsidRPr="00EB4364">
        <w:rPr>
          <w:color w:val="auto"/>
        </w:rPr>
        <w:t>社會福利服務資源</w:t>
      </w:r>
      <w:r w:rsidR="008F144E" w:rsidRPr="00EB4364">
        <w:rPr>
          <w:rFonts w:hint="eastAsia"/>
          <w:color w:val="auto"/>
        </w:rPr>
        <w:t>可謂杯水車薪，</w:t>
      </w:r>
      <w:r w:rsidR="00F54510" w:rsidRPr="00EB4364">
        <w:rPr>
          <w:rFonts w:hint="eastAsia"/>
          <w:color w:val="auto"/>
        </w:rPr>
        <w:t>除</w:t>
      </w:r>
      <w:r w:rsidR="008F144E" w:rsidRPr="00EB4364">
        <w:rPr>
          <w:rFonts w:hint="eastAsia"/>
          <w:color w:val="auto"/>
        </w:rPr>
        <w:t>無法有效維護未成年</w:t>
      </w:r>
      <w:r w:rsidR="00081CB5" w:rsidRPr="00EB4364">
        <w:rPr>
          <w:rFonts w:hint="eastAsia"/>
          <w:color w:val="auto"/>
        </w:rPr>
        <w:t>少女</w:t>
      </w:r>
      <w:r w:rsidR="008F144E" w:rsidRPr="00EB4364">
        <w:rPr>
          <w:rFonts w:hint="eastAsia"/>
          <w:color w:val="auto"/>
        </w:rPr>
        <w:t>選擇留養後之權益</w:t>
      </w:r>
      <w:r w:rsidRPr="00EB4364">
        <w:rPr>
          <w:rFonts w:hint="eastAsia"/>
          <w:color w:val="auto"/>
        </w:rPr>
        <w:t>，</w:t>
      </w:r>
      <w:r w:rsidR="00E97280" w:rsidRPr="00EB4364">
        <w:rPr>
          <w:rFonts w:hint="eastAsia"/>
          <w:color w:val="auto"/>
        </w:rPr>
        <w:t>又</w:t>
      </w:r>
      <w:r w:rsidR="00551E31" w:rsidRPr="00EB4364">
        <w:rPr>
          <w:rFonts w:hint="eastAsia"/>
          <w:color w:val="auto"/>
        </w:rPr>
        <w:t>未</w:t>
      </w:r>
      <w:r w:rsidR="00CB0DE8" w:rsidRPr="00EB4364">
        <w:rPr>
          <w:rFonts w:hint="eastAsia"/>
          <w:color w:val="auto"/>
        </w:rPr>
        <w:t>能切實檢討其</w:t>
      </w:r>
      <w:r w:rsidR="00551E31" w:rsidRPr="00EB4364">
        <w:rPr>
          <w:rFonts w:hint="eastAsia"/>
          <w:color w:val="auto"/>
        </w:rPr>
        <w:t>選擇留養</w:t>
      </w:r>
      <w:r w:rsidR="009118C1" w:rsidRPr="00EB4364">
        <w:rPr>
          <w:rFonts w:hint="eastAsia"/>
          <w:color w:val="auto"/>
        </w:rPr>
        <w:t>之</w:t>
      </w:r>
      <w:r w:rsidR="00551E31" w:rsidRPr="00EB4364">
        <w:rPr>
          <w:rFonts w:hint="eastAsia"/>
          <w:color w:val="auto"/>
        </w:rPr>
        <w:t>歷程及</w:t>
      </w:r>
      <w:r w:rsidR="00CB0DE8" w:rsidRPr="00EB4364">
        <w:rPr>
          <w:rFonts w:hint="eastAsia"/>
          <w:color w:val="auto"/>
        </w:rPr>
        <w:t>主</w:t>
      </w:r>
      <w:r w:rsidR="00551E31" w:rsidRPr="00EB4364">
        <w:rPr>
          <w:rFonts w:hint="eastAsia"/>
          <w:color w:val="auto"/>
        </w:rPr>
        <w:t>因，</w:t>
      </w:r>
      <w:r w:rsidR="00AE1A86" w:rsidRPr="00EB4364">
        <w:rPr>
          <w:rFonts w:hint="eastAsia"/>
          <w:color w:val="auto"/>
        </w:rPr>
        <w:t>致</w:t>
      </w:r>
      <w:r w:rsidR="00CB0DE8" w:rsidRPr="00EB4364">
        <w:rPr>
          <w:rFonts w:hint="eastAsia"/>
          <w:color w:val="auto"/>
        </w:rPr>
        <w:t>影響</w:t>
      </w:r>
      <w:r w:rsidR="00F54510" w:rsidRPr="00EB4364">
        <w:rPr>
          <w:rFonts w:hint="eastAsia"/>
          <w:color w:val="auto"/>
        </w:rPr>
        <w:t>其子女</w:t>
      </w:r>
      <w:r w:rsidR="00551E31" w:rsidRPr="00EB4364">
        <w:rPr>
          <w:rFonts w:hint="eastAsia"/>
          <w:color w:val="auto"/>
        </w:rPr>
        <w:t>在原生家庭</w:t>
      </w:r>
      <w:r w:rsidR="009118C1" w:rsidRPr="00EB4364">
        <w:rPr>
          <w:rFonts w:hint="eastAsia"/>
          <w:color w:val="auto"/>
        </w:rPr>
        <w:t>恐</w:t>
      </w:r>
      <w:r w:rsidR="00F54510" w:rsidRPr="00EB4364">
        <w:rPr>
          <w:rFonts w:hint="eastAsia"/>
          <w:color w:val="auto"/>
        </w:rPr>
        <w:t>被虐待或棄養</w:t>
      </w:r>
      <w:r w:rsidR="00CB0DE8" w:rsidRPr="00EB4364">
        <w:rPr>
          <w:rFonts w:hint="eastAsia"/>
          <w:color w:val="auto"/>
        </w:rPr>
        <w:t>等</w:t>
      </w:r>
      <w:r w:rsidR="00F54510" w:rsidRPr="00EB4364">
        <w:rPr>
          <w:rFonts w:hint="eastAsia"/>
          <w:color w:val="auto"/>
        </w:rPr>
        <w:t>問題，</w:t>
      </w:r>
      <w:r w:rsidR="00AE1A86" w:rsidRPr="00EB4364">
        <w:rPr>
          <w:rFonts w:hint="eastAsia"/>
          <w:color w:val="auto"/>
        </w:rPr>
        <w:t>故</w:t>
      </w:r>
      <w:r w:rsidR="00CB0DE8" w:rsidRPr="00EB4364">
        <w:rPr>
          <w:rFonts w:hint="eastAsia"/>
          <w:color w:val="auto"/>
        </w:rPr>
        <w:t>權責機關</w:t>
      </w:r>
      <w:r w:rsidR="009118C1" w:rsidRPr="00EB4364">
        <w:rPr>
          <w:rFonts w:hint="eastAsia"/>
          <w:color w:val="auto"/>
        </w:rPr>
        <w:t>宜</w:t>
      </w:r>
      <w:r w:rsidR="00AE1A86" w:rsidRPr="00EB4364">
        <w:rPr>
          <w:rFonts w:hint="eastAsia"/>
          <w:color w:val="auto"/>
        </w:rPr>
        <w:t>加強掌握</w:t>
      </w:r>
      <w:r w:rsidR="009118C1" w:rsidRPr="00EB4364">
        <w:rPr>
          <w:rFonts w:hint="eastAsia"/>
          <w:color w:val="auto"/>
        </w:rPr>
        <w:t>並分析</w:t>
      </w:r>
      <w:r w:rsidR="00AE1A86" w:rsidRPr="00EB4364">
        <w:rPr>
          <w:rFonts w:hint="eastAsia"/>
          <w:color w:val="auto"/>
        </w:rPr>
        <w:t>留養趨勢攀升之原因，</w:t>
      </w:r>
      <w:r w:rsidR="00A306A5" w:rsidRPr="00EB4364">
        <w:rPr>
          <w:rFonts w:hint="eastAsia"/>
          <w:color w:val="auto"/>
        </w:rPr>
        <w:t>亦</w:t>
      </w:r>
      <w:r w:rsidR="009118C1" w:rsidRPr="00EB4364">
        <w:rPr>
          <w:rFonts w:hint="eastAsia"/>
          <w:color w:val="auto"/>
        </w:rPr>
        <w:t>或可借鏡國外相關經驗，</w:t>
      </w:r>
      <w:r w:rsidR="00365812" w:rsidRPr="00EB4364">
        <w:rPr>
          <w:rFonts w:hint="eastAsia"/>
          <w:color w:val="auto"/>
        </w:rPr>
        <w:t>進而研議</w:t>
      </w:r>
      <w:r w:rsidR="00E97280" w:rsidRPr="00EB4364">
        <w:rPr>
          <w:rFonts w:hint="eastAsia"/>
          <w:color w:val="auto"/>
        </w:rPr>
        <w:t>具體</w:t>
      </w:r>
      <w:r w:rsidR="00365812" w:rsidRPr="00EB4364">
        <w:rPr>
          <w:rFonts w:hint="eastAsia"/>
          <w:color w:val="auto"/>
        </w:rPr>
        <w:t>改善</w:t>
      </w:r>
      <w:r w:rsidR="00E97280" w:rsidRPr="00EB4364">
        <w:rPr>
          <w:rFonts w:hint="eastAsia"/>
          <w:color w:val="auto"/>
        </w:rPr>
        <w:t>對策</w:t>
      </w:r>
      <w:r w:rsidR="00365812" w:rsidRPr="00EB4364">
        <w:rPr>
          <w:rFonts w:hint="eastAsia"/>
          <w:color w:val="auto"/>
        </w:rPr>
        <w:t>，以使資源妥適配置</w:t>
      </w:r>
      <w:r w:rsidR="009806E3" w:rsidRPr="00EB4364">
        <w:rPr>
          <w:rFonts w:hint="eastAsia"/>
          <w:color w:val="auto"/>
        </w:rPr>
        <w:t>，</w:t>
      </w:r>
      <w:r w:rsidR="00902560" w:rsidRPr="00EB4364">
        <w:rPr>
          <w:rFonts w:hint="eastAsia"/>
          <w:color w:val="auto"/>
        </w:rPr>
        <w:t>切合</w:t>
      </w:r>
      <w:r w:rsidR="009806E3" w:rsidRPr="00EB4364">
        <w:rPr>
          <w:rFonts w:hint="eastAsia"/>
          <w:color w:val="auto"/>
        </w:rPr>
        <w:t>是類兒少及其子女</w:t>
      </w:r>
      <w:r w:rsidR="00A306A5" w:rsidRPr="00EB4364">
        <w:rPr>
          <w:rFonts w:hint="eastAsia"/>
          <w:color w:val="auto"/>
        </w:rPr>
        <w:t>之</w:t>
      </w:r>
      <w:r w:rsidR="009806E3" w:rsidRPr="00EB4364">
        <w:rPr>
          <w:rFonts w:hint="eastAsia"/>
          <w:color w:val="auto"/>
        </w:rPr>
        <w:t>實際需求</w:t>
      </w:r>
      <w:r w:rsidR="00CB0DE8" w:rsidRPr="00EB4364">
        <w:rPr>
          <w:rFonts w:hint="eastAsia"/>
          <w:color w:val="auto"/>
        </w:rPr>
        <w:t>。</w:t>
      </w:r>
    </w:p>
    <w:p w:rsidR="004A4724" w:rsidRPr="00EB4364" w:rsidRDefault="00261657" w:rsidP="00F14BC5">
      <w:pPr>
        <w:pStyle w:val="3"/>
        <w:rPr>
          <w:rFonts w:hAnsi="標楷體"/>
          <w:color w:val="auto"/>
        </w:rPr>
      </w:pPr>
      <w:r w:rsidRPr="00EB4364">
        <w:rPr>
          <w:rFonts w:hint="eastAsia"/>
          <w:color w:val="auto"/>
        </w:rPr>
        <w:t>綜上，我國</w:t>
      </w:r>
      <w:r w:rsidR="00F14BC5" w:rsidRPr="00EB4364">
        <w:rPr>
          <w:rFonts w:hint="eastAsia"/>
          <w:color w:val="auto"/>
        </w:rPr>
        <w:t>每年約有3,000名新生兒由未成年</w:t>
      </w:r>
      <w:r w:rsidR="00CE1D3D" w:rsidRPr="00EB4364">
        <w:rPr>
          <w:rFonts w:hint="eastAsia"/>
          <w:color w:val="auto"/>
        </w:rPr>
        <w:t>產母</w:t>
      </w:r>
      <w:r w:rsidR="00F14BC5" w:rsidRPr="00EB4364">
        <w:rPr>
          <w:rFonts w:hint="eastAsia"/>
          <w:color w:val="auto"/>
        </w:rPr>
        <w:t>所生，而未成年</w:t>
      </w:r>
      <w:r w:rsidR="00081CB5" w:rsidRPr="00EB4364">
        <w:rPr>
          <w:rFonts w:hint="eastAsia"/>
          <w:color w:val="auto"/>
        </w:rPr>
        <w:t>少女</w:t>
      </w:r>
      <w:r w:rsidR="00F14BC5" w:rsidRPr="00EB4364">
        <w:rPr>
          <w:rFonts w:hint="eastAsia"/>
          <w:color w:val="auto"/>
        </w:rPr>
        <w:t>懷孕生子選擇留養人數愈趨增多，小媽媽在極度壓力與援助匱乏的環境下，除可能面臨家庭、社會、經濟、教育、</w:t>
      </w:r>
      <w:r w:rsidR="00CE1D3D" w:rsidRPr="00EB4364">
        <w:rPr>
          <w:rFonts w:hint="eastAsia"/>
          <w:color w:val="auto"/>
        </w:rPr>
        <w:t>身心狀況</w:t>
      </w:r>
      <w:r w:rsidR="00F14BC5" w:rsidRPr="00EB4364">
        <w:rPr>
          <w:rFonts w:hint="eastAsia"/>
          <w:color w:val="auto"/>
        </w:rPr>
        <w:t>等多方困境外，亦有較高風險需承受產下的新生兒早產及體重不足等問題，對此，社會應以正面溫暖的態度，以保護角度去看待已發生之問題，</w:t>
      </w:r>
      <w:r w:rsidR="00B90BC8" w:rsidRPr="00EB4364">
        <w:rPr>
          <w:rFonts w:hAnsi="標楷體" w:hint="eastAsia"/>
          <w:color w:val="auto"/>
        </w:rPr>
        <w:t>行政院允宜督促所屬對現行未成年</w:t>
      </w:r>
      <w:r w:rsidR="00081CB5" w:rsidRPr="00EB4364">
        <w:rPr>
          <w:rFonts w:hAnsi="標楷體" w:hint="eastAsia"/>
          <w:color w:val="auto"/>
        </w:rPr>
        <w:t>少女</w:t>
      </w:r>
      <w:r w:rsidR="00B90BC8" w:rsidRPr="00EB4364">
        <w:rPr>
          <w:rFonts w:hAnsi="標楷體" w:hint="eastAsia"/>
          <w:color w:val="auto"/>
        </w:rPr>
        <w:t>懷孕生子後續之服務處遇及新生兒安置情形加以檢討、評估成效並研議有效因應措施，以維護兒童及青少年健康成長及其人格和諧發展之權益</w:t>
      </w:r>
      <w:r w:rsidR="00F14BC5" w:rsidRPr="00EB4364">
        <w:rPr>
          <w:rFonts w:hAnsi="標楷體" w:hint="eastAsia"/>
          <w:color w:val="auto"/>
        </w:rPr>
        <w:t>。</w:t>
      </w:r>
    </w:p>
    <w:p w:rsidR="005544E0" w:rsidRPr="00EB4364" w:rsidRDefault="005544E0" w:rsidP="005544E0">
      <w:pPr>
        <w:pStyle w:val="2"/>
        <w:rPr>
          <w:rFonts w:hAnsi="標楷體"/>
          <w:b/>
        </w:rPr>
      </w:pPr>
      <w:r w:rsidRPr="00EB4364">
        <w:rPr>
          <w:rFonts w:hAnsi="標楷體" w:hint="eastAsia"/>
          <w:b/>
        </w:rPr>
        <w:t>為培養學生建立健康安全之性</w:t>
      </w:r>
      <w:r w:rsidR="003738B0" w:rsidRPr="00EB4364">
        <w:rPr>
          <w:rFonts w:hAnsi="標楷體" w:hint="eastAsia"/>
          <w:b/>
        </w:rPr>
        <w:t>觀念</w:t>
      </w:r>
      <w:r w:rsidRPr="00EB4364">
        <w:rPr>
          <w:rFonts w:hAnsi="標楷體" w:hint="eastAsia"/>
          <w:b/>
        </w:rPr>
        <w:t>，行政院</w:t>
      </w:r>
      <w:r w:rsidR="00E646FD" w:rsidRPr="00EB4364">
        <w:rPr>
          <w:rFonts w:hAnsi="標楷體" w:hint="eastAsia"/>
          <w:b/>
        </w:rPr>
        <w:t>允宜</w:t>
      </w:r>
      <w:r w:rsidRPr="00EB4364">
        <w:rPr>
          <w:rFonts w:hAnsi="標楷體" w:hint="eastAsia"/>
          <w:b/>
        </w:rPr>
        <w:t>督促所屬強化青少年性健康教育，並</w:t>
      </w:r>
      <w:r w:rsidR="009623BC" w:rsidRPr="00EB4364">
        <w:rPr>
          <w:rFonts w:hAnsi="標楷體" w:hint="eastAsia"/>
          <w:b/>
        </w:rPr>
        <w:t>因應</w:t>
      </w:r>
      <w:r w:rsidR="00705B95" w:rsidRPr="00EB4364">
        <w:rPr>
          <w:rFonts w:hAnsi="標楷體" w:hint="eastAsia"/>
          <w:b/>
        </w:rPr>
        <w:t>新興數位時代趨勢</w:t>
      </w:r>
      <w:r w:rsidR="009623BC" w:rsidRPr="00EB4364">
        <w:rPr>
          <w:rFonts w:hAnsi="標楷體" w:hint="eastAsia"/>
          <w:b/>
        </w:rPr>
        <w:t>，</w:t>
      </w:r>
      <w:r w:rsidRPr="00EB4364">
        <w:rPr>
          <w:rFonts w:hAnsi="標楷體" w:hint="eastAsia"/>
          <w:b/>
        </w:rPr>
        <w:t>改善</w:t>
      </w:r>
      <w:r w:rsidR="00B74AF5" w:rsidRPr="00EB4364">
        <w:rPr>
          <w:rFonts w:hAnsi="標楷體" w:hint="eastAsia"/>
          <w:b/>
        </w:rPr>
        <w:t>相</w:t>
      </w:r>
      <w:r w:rsidR="009623BC" w:rsidRPr="00EB4364">
        <w:rPr>
          <w:rFonts w:hAnsi="標楷體" w:hint="eastAsia"/>
          <w:b/>
        </w:rPr>
        <w:t>關</w:t>
      </w:r>
      <w:r w:rsidRPr="00EB4364">
        <w:rPr>
          <w:rFonts w:hAnsi="標楷體" w:hint="eastAsia"/>
          <w:b/>
        </w:rPr>
        <w:t>宣導策略</w:t>
      </w:r>
      <w:r w:rsidR="00B74AF5" w:rsidRPr="00EB4364">
        <w:rPr>
          <w:rFonts w:hAnsi="標楷體" w:hint="eastAsia"/>
          <w:b/>
        </w:rPr>
        <w:t>及媒介應用</w:t>
      </w:r>
      <w:r w:rsidRPr="00EB4364">
        <w:rPr>
          <w:rFonts w:hAnsi="標楷體" w:hint="eastAsia"/>
          <w:b/>
        </w:rPr>
        <w:t>，</w:t>
      </w:r>
      <w:r w:rsidR="00B74AF5" w:rsidRPr="00EB4364">
        <w:rPr>
          <w:rFonts w:hAnsi="標楷體" w:hint="eastAsia"/>
          <w:b/>
        </w:rPr>
        <w:t>俾</w:t>
      </w:r>
      <w:r w:rsidRPr="00EB4364">
        <w:rPr>
          <w:rFonts w:hAnsi="標楷體" w:hint="eastAsia"/>
          <w:b/>
        </w:rPr>
        <w:t>落實性別平等教育法</w:t>
      </w:r>
      <w:r w:rsidR="00371FA2" w:rsidRPr="00EB4364">
        <w:rPr>
          <w:rFonts w:hAnsi="標楷體" w:hint="eastAsia"/>
          <w:b/>
        </w:rPr>
        <w:t>等</w:t>
      </w:r>
      <w:r w:rsidRPr="00EB4364">
        <w:rPr>
          <w:rFonts w:hAnsi="標楷體" w:hint="eastAsia"/>
          <w:b/>
        </w:rPr>
        <w:t>相關規定</w:t>
      </w:r>
      <w:r w:rsidR="009623BC" w:rsidRPr="00EB4364">
        <w:rPr>
          <w:rFonts w:hAnsi="標楷體" w:hint="eastAsia"/>
          <w:b/>
        </w:rPr>
        <w:t>，</w:t>
      </w:r>
      <w:r w:rsidRPr="00EB4364">
        <w:rPr>
          <w:rFonts w:hAnsi="標楷體" w:hint="eastAsia"/>
          <w:b/>
        </w:rPr>
        <w:t>以保</w:t>
      </w:r>
      <w:r w:rsidR="00476AD2" w:rsidRPr="00EB4364">
        <w:rPr>
          <w:rFonts w:hAnsi="標楷體" w:hint="eastAsia"/>
          <w:b/>
        </w:rPr>
        <w:t>障青少年之</w:t>
      </w:r>
      <w:r w:rsidRPr="00EB4364">
        <w:rPr>
          <w:rFonts w:hAnsi="標楷體" w:hint="eastAsia"/>
          <w:b/>
        </w:rPr>
        <w:t>受教權及健康權</w:t>
      </w:r>
    </w:p>
    <w:p w:rsidR="00931399" w:rsidRPr="00EB4364" w:rsidRDefault="00FB6268" w:rsidP="005E0A41">
      <w:pPr>
        <w:pStyle w:val="3"/>
        <w:rPr>
          <w:rFonts w:hAnsi="標楷體"/>
          <w:color w:val="auto"/>
        </w:rPr>
      </w:pPr>
      <w:r w:rsidRPr="00EB4364">
        <w:rPr>
          <w:rFonts w:hAnsi="標楷體" w:hint="eastAsia"/>
          <w:color w:val="auto"/>
        </w:rPr>
        <w:t>我國於101年1月1日施行消除對婦女一切形式歧視公約施行法，</w:t>
      </w:r>
      <w:r w:rsidR="006F554D" w:rsidRPr="00EB4364">
        <w:rPr>
          <w:rFonts w:hAnsi="標楷體" w:hint="eastAsia"/>
          <w:color w:val="auto"/>
        </w:rPr>
        <w:t>宣示我國保障婦女權利並與國際人權接軌之決心。</w:t>
      </w:r>
      <w:r w:rsidR="00AB6FBE" w:rsidRPr="00EB4364">
        <w:rPr>
          <w:rFonts w:hAnsi="標楷體" w:hint="eastAsia"/>
          <w:color w:val="auto"/>
        </w:rPr>
        <w:t>依</w:t>
      </w:r>
      <w:r w:rsidR="00877EEF" w:rsidRPr="00EB4364">
        <w:rPr>
          <w:rFonts w:hAnsi="標楷體"/>
          <w:color w:val="auto"/>
        </w:rPr>
        <w:t>消除對婦女歧視委員會</w:t>
      </w:r>
      <w:r w:rsidR="00877EEF" w:rsidRPr="00EB4364">
        <w:rPr>
          <w:rFonts w:hAnsi="標楷體" w:hint="eastAsia"/>
          <w:color w:val="auto"/>
        </w:rPr>
        <w:t xml:space="preserve"> </w:t>
      </w:r>
      <w:r w:rsidR="00AB6FBE" w:rsidRPr="00EB4364">
        <w:rPr>
          <w:rFonts w:hAnsi="標楷體" w:hint="eastAsia"/>
          <w:color w:val="auto"/>
        </w:rPr>
        <w:t>(Committee on the Elimination of Discrimination against Women)</w:t>
      </w:r>
      <w:r w:rsidR="00E31C57" w:rsidRPr="00EB4364">
        <w:rPr>
          <w:rFonts w:hAnsi="標楷體" w:hint="eastAsia"/>
          <w:color w:val="auto"/>
        </w:rPr>
        <w:t>之</w:t>
      </w:r>
      <w:r w:rsidR="002811EA" w:rsidRPr="00EB4364">
        <w:rPr>
          <w:rFonts w:hAnsi="標楷體" w:hint="eastAsia"/>
          <w:color w:val="auto"/>
        </w:rPr>
        <w:t>一般性建議</w:t>
      </w:r>
      <w:r w:rsidR="006313CF" w:rsidRPr="00EB4364">
        <w:rPr>
          <w:rFonts w:hint="eastAsia"/>
          <w:color w:val="auto"/>
        </w:rPr>
        <w:t>（general comment）第21號指</w:t>
      </w:r>
      <w:r w:rsidR="006313CF" w:rsidRPr="00EB4364">
        <w:rPr>
          <w:rFonts w:hint="eastAsia"/>
          <w:color w:val="auto"/>
        </w:rPr>
        <w:lastRenderedPageBreak/>
        <w:t>出：「根據世界衛生組織的觀點，未成年人，尤指少女結婚生育，對其健康會造成不利影響，同時妨礙其學業，導致其經濟自立也受到侷限</w:t>
      </w:r>
      <w:r w:rsidR="00590DFC" w:rsidRPr="00EB4364">
        <w:rPr>
          <w:rStyle w:val="afc"/>
          <w:color w:val="auto"/>
        </w:rPr>
        <w:footnoteReference w:id="11"/>
      </w:r>
      <w:r w:rsidR="006313CF" w:rsidRPr="00EB4364">
        <w:rPr>
          <w:rFonts w:hint="eastAsia"/>
          <w:color w:val="auto"/>
        </w:rPr>
        <w:t>」、「不僅影響婦女本身，還限制其能力發展和獨立性，減少其就業機會，從而對家庭和社區皆造成不利影響</w:t>
      </w:r>
      <w:r w:rsidR="00F376F4" w:rsidRPr="00EB4364">
        <w:rPr>
          <w:rStyle w:val="afc"/>
          <w:color w:val="auto"/>
        </w:rPr>
        <w:footnoteReference w:id="12"/>
      </w:r>
      <w:r w:rsidR="006313CF" w:rsidRPr="00EB4364">
        <w:rPr>
          <w:rFonts w:hint="eastAsia"/>
          <w:color w:val="auto"/>
        </w:rPr>
        <w:t>」；</w:t>
      </w:r>
      <w:r w:rsidR="002811EA" w:rsidRPr="00EB4364">
        <w:rPr>
          <w:rFonts w:hint="eastAsia"/>
          <w:color w:val="auto"/>
        </w:rPr>
        <w:t>第31</w:t>
      </w:r>
      <w:r w:rsidR="006313CF" w:rsidRPr="00EB4364">
        <w:rPr>
          <w:rFonts w:hint="eastAsia"/>
          <w:color w:val="auto"/>
        </w:rPr>
        <w:t>號更進一步揭示</w:t>
      </w:r>
      <w:r w:rsidR="00C506FF" w:rsidRPr="00EB4364">
        <w:rPr>
          <w:rFonts w:hint="eastAsia"/>
          <w:color w:val="auto"/>
        </w:rPr>
        <w:t>：</w:t>
      </w:r>
      <w:r w:rsidR="00517147" w:rsidRPr="00EB4364">
        <w:rPr>
          <w:rFonts w:hint="eastAsia"/>
          <w:color w:val="auto"/>
        </w:rPr>
        <w:t>「</w:t>
      </w:r>
      <w:r w:rsidR="00517147" w:rsidRPr="00EB4364">
        <w:rPr>
          <w:color w:val="auto"/>
        </w:rPr>
        <w:t>完成初等和中等教育，有利於防止童婚和少女懷孕，降低母嬰死亡率和發病率</w:t>
      </w:r>
      <w:r w:rsidR="00445ACD" w:rsidRPr="00EB4364">
        <w:rPr>
          <w:rStyle w:val="afc"/>
          <w:color w:val="auto"/>
        </w:rPr>
        <w:footnoteReference w:id="13"/>
      </w:r>
      <w:r w:rsidR="00517147" w:rsidRPr="00EB4364">
        <w:rPr>
          <w:rFonts w:hint="eastAsia"/>
          <w:color w:val="auto"/>
        </w:rPr>
        <w:t>」、</w:t>
      </w:r>
      <w:r w:rsidR="00C506FF" w:rsidRPr="00EB4364">
        <w:rPr>
          <w:rFonts w:hint="eastAsia"/>
          <w:color w:val="auto"/>
        </w:rPr>
        <w:t>「</w:t>
      </w:r>
      <w:r w:rsidR="002811EA" w:rsidRPr="00EB4364">
        <w:rPr>
          <w:rFonts w:hint="eastAsia"/>
          <w:color w:val="auto"/>
        </w:rPr>
        <w:t>少女在妊娠期間或妊娠結束後有權繼續其學業，可通過不歧視的返校政策保障</w:t>
      </w:r>
      <w:r w:rsidR="009623BC" w:rsidRPr="00EB4364">
        <w:rPr>
          <w:rFonts w:hint="eastAsia"/>
          <w:color w:val="auto"/>
        </w:rPr>
        <w:t>此</w:t>
      </w:r>
      <w:r w:rsidR="002811EA" w:rsidRPr="00EB4364">
        <w:rPr>
          <w:rFonts w:hint="eastAsia"/>
          <w:color w:val="auto"/>
        </w:rPr>
        <w:t>權利</w:t>
      </w:r>
      <w:r w:rsidR="00445ACD" w:rsidRPr="00EB4364">
        <w:rPr>
          <w:rStyle w:val="afc"/>
          <w:color w:val="auto"/>
        </w:rPr>
        <w:footnoteReference w:id="14"/>
      </w:r>
      <w:r w:rsidR="00C506FF" w:rsidRPr="00EB4364">
        <w:rPr>
          <w:rFonts w:hint="eastAsia"/>
          <w:color w:val="auto"/>
        </w:rPr>
        <w:t>」</w:t>
      </w:r>
      <w:r w:rsidR="005A1D54" w:rsidRPr="00EB4364">
        <w:rPr>
          <w:rFonts w:hint="eastAsia"/>
          <w:color w:val="auto"/>
        </w:rPr>
        <w:t>。</w:t>
      </w:r>
      <w:r w:rsidR="00DC3062" w:rsidRPr="00EB4364">
        <w:rPr>
          <w:rFonts w:hint="eastAsia"/>
          <w:color w:val="auto"/>
        </w:rPr>
        <w:t>次依</w:t>
      </w:r>
      <w:r w:rsidR="00511CF3" w:rsidRPr="00EB4364">
        <w:rPr>
          <w:rFonts w:hAnsi="標楷體" w:hint="eastAsia"/>
          <w:color w:val="auto"/>
        </w:rPr>
        <w:t>性別平等教育法第1條，為促進性別地位之實質平等，消除性別歧視，維護人格尊嚴，應厚植並建立性別平等之教育資源與環境。學校為防治校園性侵害、性騷擾或性霸凌，應採取之校園安全空間規劃及安全措施，維護學生之就學權益及人身安全責無旁貸</w:t>
      </w:r>
      <w:r w:rsidR="001F2AEB" w:rsidRPr="00EB4364">
        <w:rPr>
          <w:rFonts w:hAnsi="標楷體" w:hint="eastAsia"/>
          <w:color w:val="auto"/>
        </w:rPr>
        <w:t>；</w:t>
      </w:r>
      <w:r w:rsidR="00DC3062" w:rsidRPr="00EB4364">
        <w:rPr>
          <w:rFonts w:hAnsi="標楷體" w:hint="eastAsia"/>
          <w:color w:val="auto"/>
        </w:rPr>
        <w:t>該</w:t>
      </w:r>
      <w:r w:rsidR="00931399" w:rsidRPr="00EB4364">
        <w:rPr>
          <w:rFonts w:hAnsi="標楷體" w:hint="eastAsia"/>
          <w:color w:val="auto"/>
        </w:rPr>
        <w:t>法第14</w:t>
      </w:r>
      <w:r w:rsidR="003905B3" w:rsidRPr="00EB4364">
        <w:rPr>
          <w:rFonts w:hAnsi="標楷體" w:hint="eastAsia"/>
          <w:color w:val="auto"/>
        </w:rPr>
        <w:t>條</w:t>
      </w:r>
      <w:r w:rsidR="00931399" w:rsidRPr="00EB4364">
        <w:rPr>
          <w:rFonts w:hAnsi="標楷體" w:hint="eastAsia"/>
          <w:color w:val="auto"/>
        </w:rPr>
        <w:t>之1復規定，學校應積極維護懷孕學生之受教權，並提供必要之協助。</w:t>
      </w:r>
      <w:r w:rsidR="001F2AEB" w:rsidRPr="00EB4364">
        <w:rPr>
          <w:rFonts w:hAnsi="標楷體" w:hint="eastAsia"/>
          <w:color w:val="auto"/>
        </w:rPr>
        <w:t xml:space="preserve"> </w:t>
      </w:r>
    </w:p>
    <w:p w:rsidR="00A71479" w:rsidRPr="00EB4364" w:rsidRDefault="002D559F" w:rsidP="005E0A41">
      <w:pPr>
        <w:pStyle w:val="3"/>
        <w:rPr>
          <w:rFonts w:hAnsi="標楷體"/>
          <w:color w:val="auto"/>
        </w:rPr>
      </w:pPr>
      <w:r w:rsidRPr="00EB4364">
        <w:rPr>
          <w:rFonts w:hAnsi="標楷體" w:hint="eastAsia"/>
          <w:color w:val="auto"/>
        </w:rPr>
        <w:t>查教育部為促進學生及教職員工健康，</w:t>
      </w:r>
      <w:r w:rsidR="003905B3" w:rsidRPr="00EB4364">
        <w:rPr>
          <w:rFonts w:hAnsi="標楷體" w:hint="eastAsia"/>
          <w:color w:val="auto"/>
        </w:rPr>
        <w:t>制</w:t>
      </w:r>
      <w:r w:rsidRPr="00EB4364">
        <w:rPr>
          <w:rFonts w:hAnsi="標楷體" w:hint="eastAsia"/>
          <w:color w:val="auto"/>
        </w:rPr>
        <w:t>定學校衛生法，該法第6條規定，學校應有健康中心之設施，作為健康檢查與管理、衛生諮詢及支援健康教學之場所；</w:t>
      </w:r>
      <w:r w:rsidR="006A68A9" w:rsidRPr="00EB4364">
        <w:rPr>
          <w:rFonts w:hAnsi="標楷體" w:hint="eastAsia"/>
          <w:color w:val="auto"/>
        </w:rPr>
        <w:t>同法</w:t>
      </w:r>
      <w:r w:rsidRPr="00EB4364">
        <w:rPr>
          <w:rFonts w:hAnsi="標楷體" w:hint="eastAsia"/>
          <w:color w:val="auto"/>
        </w:rPr>
        <w:t>第16條規定，健康相關課程、教材及教法，應適合學生生長發育特性及需要，兼顧認知、情意與技能</w:t>
      </w:r>
      <w:r w:rsidR="006A68A9" w:rsidRPr="00EB4364">
        <w:rPr>
          <w:rFonts w:hAnsi="標楷體" w:hint="eastAsia"/>
          <w:color w:val="auto"/>
        </w:rPr>
        <w:t>；同法</w:t>
      </w:r>
      <w:r w:rsidRPr="00EB4364">
        <w:rPr>
          <w:rFonts w:hAnsi="標楷體" w:hint="eastAsia"/>
          <w:color w:val="auto"/>
        </w:rPr>
        <w:t>第19條規定，學校應加強辦理健康促進及建立健康生活行為等活動。該法施行細則</w:t>
      </w:r>
      <w:r w:rsidRPr="00EB4364">
        <w:rPr>
          <w:rFonts w:hAnsi="標楷體" w:hint="eastAsia"/>
          <w:color w:val="auto"/>
        </w:rPr>
        <w:lastRenderedPageBreak/>
        <w:t>第6條規定，健康管理制度應包括學生健康資料管理及應用，健康教育、指導及諮商等。</w:t>
      </w:r>
      <w:r w:rsidR="00A71479" w:rsidRPr="00EB4364">
        <w:rPr>
          <w:rFonts w:hAnsi="標楷體" w:hint="eastAsia"/>
          <w:color w:val="auto"/>
        </w:rPr>
        <w:t>此外，教育部補助地方政府辦理學校健康促進實施計畫，並依學校衛生法第19條，將性教育（含愛滋病防治）納入必選之議題。</w:t>
      </w:r>
    </w:p>
    <w:p w:rsidR="007C24E7" w:rsidRPr="00EB4364" w:rsidRDefault="00261657" w:rsidP="003E6339">
      <w:pPr>
        <w:pStyle w:val="3"/>
        <w:rPr>
          <w:rFonts w:hAnsi="標楷體"/>
          <w:color w:val="auto"/>
        </w:rPr>
      </w:pPr>
      <w:r w:rsidRPr="00EB4364">
        <w:rPr>
          <w:rFonts w:hAnsi="標楷體" w:hint="eastAsia"/>
          <w:color w:val="auto"/>
        </w:rPr>
        <w:t>衛福部</w:t>
      </w:r>
      <w:r w:rsidR="00B42B53" w:rsidRPr="00EB4364">
        <w:rPr>
          <w:rFonts w:hAnsi="標楷體" w:hint="eastAsia"/>
          <w:color w:val="auto"/>
        </w:rPr>
        <w:t>社家署於104至106年</w:t>
      </w:r>
      <w:r w:rsidR="00AB23E0" w:rsidRPr="00EB4364">
        <w:rPr>
          <w:rFonts w:hAnsi="標楷體" w:hint="eastAsia"/>
          <w:color w:val="auto"/>
        </w:rPr>
        <w:t>度</w:t>
      </w:r>
      <w:r w:rsidR="00B42B53" w:rsidRPr="00EB4364">
        <w:rPr>
          <w:rFonts w:hAnsi="標楷體" w:hint="eastAsia"/>
          <w:color w:val="auto"/>
        </w:rPr>
        <w:t>編列經費專案補助勵馨基金會辦理「全國未成年懷孕諮詢服務計畫」</w:t>
      </w:r>
      <w:r w:rsidR="00AB23E0" w:rsidRPr="00EB4364">
        <w:rPr>
          <w:rStyle w:val="afc"/>
          <w:rFonts w:hAnsi="標楷體"/>
          <w:color w:val="auto"/>
        </w:rPr>
        <w:footnoteReference w:id="15"/>
      </w:r>
      <w:r w:rsidR="00B42B53" w:rsidRPr="00EB4364">
        <w:rPr>
          <w:rFonts w:hAnsi="標楷體" w:hint="eastAsia"/>
          <w:color w:val="auto"/>
        </w:rPr>
        <w:t>，104年度補助經費111萬元、105年</w:t>
      </w:r>
      <w:r w:rsidR="00AB23E0" w:rsidRPr="00EB4364">
        <w:rPr>
          <w:rFonts w:hAnsi="標楷體" w:hint="eastAsia"/>
          <w:color w:val="auto"/>
        </w:rPr>
        <w:t>度</w:t>
      </w:r>
      <w:r w:rsidR="00B42B53" w:rsidRPr="00EB4364">
        <w:rPr>
          <w:rFonts w:hAnsi="標楷體" w:hint="eastAsia"/>
          <w:color w:val="auto"/>
        </w:rPr>
        <w:t>及106年</w:t>
      </w:r>
      <w:r w:rsidR="00AB23E0" w:rsidRPr="00EB4364">
        <w:rPr>
          <w:rFonts w:hAnsi="標楷體" w:hint="eastAsia"/>
          <w:color w:val="auto"/>
        </w:rPr>
        <w:t>度</w:t>
      </w:r>
      <w:r w:rsidR="00B42B53" w:rsidRPr="00EB4364">
        <w:rPr>
          <w:rFonts w:hAnsi="標楷體" w:hint="eastAsia"/>
          <w:color w:val="auto"/>
        </w:rPr>
        <w:t>各補助經費111萬5,000元，設置全國未成年懷孕諮詢專線及未成年懷孕求助網站，提供未成年懷孕少女及其重要他人求助之近便性、即時性諮詢管道，相關服務統計如下表，由下表可見</w:t>
      </w:r>
      <w:r w:rsidR="007C24E7" w:rsidRPr="00EB4364">
        <w:rPr>
          <w:rFonts w:hAnsi="標楷體" w:hint="eastAsia"/>
          <w:color w:val="auto"/>
        </w:rPr>
        <w:t>諮詢專線</w:t>
      </w:r>
      <w:r w:rsidR="002E4B1D" w:rsidRPr="00EB4364">
        <w:rPr>
          <w:rFonts w:hAnsi="標楷體" w:hint="eastAsia"/>
          <w:color w:val="auto"/>
        </w:rPr>
        <w:t>的</w:t>
      </w:r>
      <w:r w:rsidR="003905B3" w:rsidRPr="00EB4364">
        <w:rPr>
          <w:rFonts w:hAnsi="標楷體" w:hint="eastAsia"/>
          <w:color w:val="auto"/>
        </w:rPr>
        <w:t>使用人次呈逐年下降趨勢，求助網站的閱覽人次及使用該網站電子信</w:t>
      </w:r>
      <w:r w:rsidR="007C24E7" w:rsidRPr="00EB4364">
        <w:rPr>
          <w:rFonts w:hAnsi="標楷體" w:hint="eastAsia"/>
          <w:color w:val="auto"/>
        </w:rPr>
        <w:t>箱諮詢人次</w:t>
      </w:r>
      <w:r w:rsidR="00A9186F" w:rsidRPr="00EB4364">
        <w:rPr>
          <w:rFonts w:hAnsi="標楷體" w:hint="eastAsia"/>
          <w:color w:val="auto"/>
        </w:rPr>
        <w:t>則</w:t>
      </w:r>
      <w:r w:rsidR="007C24E7" w:rsidRPr="00EB4364">
        <w:rPr>
          <w:rFonts w:hAnsi="標楷體" w:hint="eastAsia"/>
          <w:color w:val="auto"/>
        </w:rPr>
        <w:t>呈逐年上升趨勢，整體使用求助網站人次相較使用諮詢專線人次已達百倍之差，針對未成年</w:t>
      </w:r>
      <w:r w:rsidR="009B7E3D" w:rsidRPr="00EB4364">
        <w:rPr>
          <w:rFonts w:hAnsi="標楷體" w:hint="eastAsia"/>
          <w:color w:val="auto"/>
        </w:rPr>
        <w:t>少女</w:t>
      </w:r>
      <w:r w:rsidR="007C24E7" w:rsidRPr="00EB4364">
        <w:rPr>
          <w:rFonts w:hAnsi="標楷體" w:hint="eastAsia"/>
          <w:color w:val="auto"/>
        </w:rPr>
        <w:t>懷孕及身心健康安全相關宣導策略與媒介</w:t>
      </w:r>
      <w:r w:rsidR="002E4B1D" w:rsidRPr="00EB4364">
        <w:rPr>
          <w:rFonts w:hAnsi="標楷體" w:hint="eastAsia"/>
          <w:color w:val="auto"/>
        </w:rPr>
        <w:t>應用</w:t>
      </w:r>
      <w:r w:rsidR="007C24E7" w:rsidRPr="00EB4364">
        <w:rPr>
          <w:rFonts w:hAnsi="標楷體" w:hint="eastAsia"/>
          <w:color w:val="auto"/>
        </w:rPr>
        <w:t>，</w:t>
      </w:r>
      <w:r w:rsidR="00A9186F" w:rsidRPr="00EB4364">
        <w:rPr>
          <w:rFonts w:hAnsi="標楷體" w:hint="eastAsia"/>
          <w:color w:val="auto"/>
        </w:rPr>
        <w:t>為</w:t>
      </w:r>
      <w:r w:rsidR="007C24E7" w:rsidRPr="00EB4364">
        <w:rPr>
          <w:rFonts w:hAnsi="標楷體" w:hint="eastAsia"/>
          <w:color w:val="auto"/>
        </w:rPr>
        <w:t>因應新興數位時代之趨勢，容有調整改善之必要。</w:t>
      </w:r>
    </w:p>
    <w:p w:rsidR="007C24E7" w:rsidRPr="00EB4364" w:rsidRDefault="007C24E7" w:rsidP="007C24E7">
      <w:pPr>
        <w:pStyle w:val="a3"/>
        <w:spacing w:beforeLines="50" w:before="228" w:line="480" w:lineRule="exact"/>
        <w:ind w:left="661" w:hangingChars="236" w:hanging="661"/>
        <w:rPr>
          <w:rFonts w:hAnsi="標楷體"/>
          <w:szCs w:val="32"/>
        </w:rPr>
      </w:pPr>
      <w:r w:rsidRPr="00EB4364">
        <w:rPr>
          <w:rFonts w:hAnsi="標楷體" w:hint="eastAsia"/>
          <w:szCs w:val="32"/>
        </w:rPr>
        <w:t>全國未成年懷孕諮詢專線及未成年懷孕求助網站服務統計表</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2099"/>
        <w:gridCol w:w="2602"/>
        <w:gridCol w:w="2981"/>
      </w:tblGrid>
      <w:tr w:rsidR="00EB4364" w:rsidRPr="00EB4364" w:rsidTr="00457DBA">
        <w:trPr>
          <w:trHeight w:val="654"/>
        </w:trPr>
        <w:tc>
          <w:tcPr>
            <w:tcW w:w="652" w:type="pct"/>
            <w:vAlign w:val="center"/>
          </w:tcPr>
          <w:p w:rsidR="007C24E7" w:rsidRPr="00EB4364" w:rsidRDefault="007C24E7" w:rsidP="00457DBA">
            <w:pPr>
              <w:snapToGrid w:val="0"/>
              <w:spacing w:line="360" w:lineRule="exact"/>
              <w:jc w:val="center"/>
              <w:rPr>
                <w:rFonts w:hAnsi="標楷體"/>
                <w:b/>
                <w:sz w:val="28"/>
                <w:szCs w:val="28"/>
              </w:rPr>
            </w:pPr>
            <w:r w:rsidRPr="00EB4364">
              <w:rPr>
                <w:rFonts w:hAnsi="標楷體"/>
                <w:b/>
                <w:sz w:val="28"/>
                <w:szCs w:val="28"/>
              </w:rPr>
              <w:t>年度</w:t>
            </w:r>
          </w:p>
        </w:tc>
        <w:tc>
          <w:tcPr>
            <w:tcW w:w="1188" w:type="pct"/>
            <w:vAlign w:val="center"/>
          </w:tcPr>
          <w:p w:rsidR="00901BB3" w:rsidRPr="00EB4364" w:rsidRDefault="007C24E7" w:rsidP="00457DBA">
            <w:pPr>
              <w:snapToGrid w:val="0"/>
              <w:spacing w:line="360" w:lineRule="exact"/>
              <w:jc w:val="center"/>
              <w:rPr>
                <w:rFonts w:hAnsi="標楷體"/>
                <w:b/>
                <w:sz w:val="28"/>
                <w:szCs w:val="28"/>
              </w:rPr>
            </w:pPr>
            <w:r w:rsidRPr="00EB4364">
              <w:rPr>
                <w:rFonts w:hAnsi="標楷體"/>
                <w:b/>
                <w:sz w:val="28"/>
                <w:szCs w:val="28"/>
              </w:rPr>
              <w:t>諮詢專線</w:t>
            </w:r>
          </w:p>
          <w:p w:rsidR="007C24E7" w:rsidRPr="00EB4364" w:rsidRDefault="007C24E7" w:rsidP="00457DBA">
            <w:pPr>
              <w:snapToGrid w:val="0"/>
              <w:spacing w:line="360" w:lineRule="exact"/>
              <w:jc w:val="center"/>
              <w:rPr>
                <w:rFonts w:hAnsi="標楷體"/>
                <w:b/>
                <w:sz w:val="28"/>
                <w:szCs w:val="28"/>
              </w:rPr>
            </w:pPr>
            <w:r w:rsidRPr="00EB4364">
              <w:rPr>
                <w:rFonts w:hAnsi="標楷體" w:hint="eastAsia"/>
                <w:b/>
                <w:sz w:val="28"/>
                <w:szCs w:val="28"/>
              </w:rPr>
              <w:t>(</w:t>
            </w:r>
            <w:r w:rsidRPr="00EB4364">
              <w:rPr>
                <w:rFonts w:hAnsi="標楷體"/>
                <w:b/>
                <w:sz w:val="28"/>
                <w:szCs w:val="28"/>
              </w:rPr>
              <w:t>人次</w:t>
            </w:r>
            <w:r w:rsidRPr="00EB4364">
              <w:rPr>
                <w:rFonts w:hAnsi="標楷體" w:hint="eastAsia"/>
                <w:b/>
                <w:sz w:val="28"/>
                <w:szCs w:val="28"/>
              </w:rPr>
              <w:t>)</w:t>
            </w:r>
          </w:p>
        </w:tc>
        <w:tc>
          <w:tcPr>
            <w:tcW w:w="1473" w:type="pct"/>
            <w:vAlign w:val="center"/>
          </w:tcPr>
          <w:p w:rsidR="00901BB3" w:rsidRPr="00EB4364" w:rsidRDefault="007C24E7" w:rsidP="00457DBA">
            <w:pPr>
              <w:snapToGrid w:val="0"/>
              <w:spacing w:line="360" w:lineRule="exact"/>
              <w:jc w:val="center"/>
              <w:rPr>
                <w:rFonts w:hAnsi="標楷體"/>
                <w:b/>
                <w:sz w:val="28"/>
                <w:szCs w:val="28"/>
              </w:rPr>
            </w:pPr>
            <w:r w:rsidRPr="00EB4364">
              <w:rPr>
                <w:rFonts w:hAnsi="標楷體"/>
                <w:b/>
                <w:sz w:val="28"/>
                <w:szCs w:val="28"/>
              </w:rPr>
              <w:t>求助網站總閱覽</w:t>
            </w:r>
          </w:p>
          <w:p w:rsidR="007C24E7" w:rsidRPr="00EB4364" w:rsidRDefault="00901BB3" w:rsidP="00457DBA">
            <w:pPr>
              <w:snapToGrid w:val="0"/>
              <w:spacing w:line="360" w:lineRule="exact"/>
              <w:jc w:val="center"/>
              <w:rPr>
                <w:rFonts w:hAnsi="標楷體"/>
                <w:b/>
                <w:sz w:val="28"/>
                <w:szCs w:val="28"/>
              </w:rPr>
            </w:pPr>
            <w:r w:rsidRPr="00EB4364">
              <w:rPr>
                <w:rFonts w:hAnsi="標楷體" w:hint="eastAsia"/>
                <w:b/>
                <w:sz w:val="28"/>
                <w:szCs w:val="28"/>
              </w:rPr>
              <w:t>(</w:t>
            </w:r>
            <w:r w:rsidR="007C24E7" w:rsidRPr="00EB4364">
              <w:rPr>
                <w:rFonts w:hAnsi="標楷體"/>
                <w:b/>
                <w:sz w:val="28"/>
                <w:szCs w:val="28"/>
              </w:rPr>
              <w:t>人次</w:t>
            </w:r>
            <w:r w:rsidRPr="00EB4364">
              <w:rPr>
                <w:rFonts w:hAnsi="標楷體" w:hint="eastAsia"/>
                <w:b/>
                <w:sz w:val="28"/>
                <w:szCs w:val="28"/>
              </w:rPr>
              <w:t>)</w:t>
            </w:r>
          </w:p>
        </w:tc>
        <w:tc>
          <w:tcPr>
            <w:tcW w:w="1687" w:type="pct"/>
            <w:vAlign w:val="center"/>
          </w:tcPr>
          <w:p w:rsidR="007C24E7" w:rsidRPr="00EB4364" w:rsidRDefault="007C24E7" w:rsidP="00457DBA">
            <w:pPr>
              <w:snapToGrid w:val="0"/>
              <w:spacing w:line="360" w:lineRule="exact"/>
              <w:jc w:val="center"/>
              <w:rPr>
                <w:rFonts w:hAnsi="標楷體"/>
                <w:b/>
                <w:sz w:val="28"/>
                <w:szCs w:val="28"/>
              </w:rPr>
            </w:pPr>
            <w:r w:rsidRPr="00EB4364">
              <w:rPr>
                <w:rFonts w:hAnsi="標楷體"/>
                <w:b/>
                <w:sz w:val="28"/>
                <w:szCs w:val="28"/>
              </w:rPr>
              <w:t>求助網站/諮詢信件(封</w:t>
            </w:r>
            <w:r w:rsidRPr="00EB4364">
              <w:rPr>
                <w:rFonts w:hAnsi="標楷體" w:hint="eastAsia"/>
                <w:b/>
                <w:sz w:val="28"/>
                <w:szCs w:val="28"/>
              </w:rPr>
              <w:t>)</w:t>
            </w:r>
          </w:p>
        </w:tc>
      </w:tr>
      <w:tr w:rsidR="00EB4364" w:rsidRPr="00EB4364" w:rsidTr="00457DBA">
        <w:trPr>
          <w:trHeight w:val="210"/>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97</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1,734</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w:t>
            </w:r>
          </w:p>
        </w:tc>
      </w:tr>
      <w:tr w:rsidR="00EB4364" w:rsidRPr="00EB4364" w:rsidTr="00457DBA">
        <w:trPr>
          <w:trHeight w:val="223"/>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98</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1,500</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w:t>
            </w:r>
          </w:p>
        </w:tc>
      </w:tr>
      <w:tr w:rsidR="00EB4364" w:rsidRPr="00EB4364" w:rsidTr="00457DBA">
        <w:trPr>
          <w:trHeight w:val="210"/>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99</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1,620</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33,542</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146</w:t>
            </w:r>
          </w:p>
        </w:tc>
      </w:tr>
      <w:tr w:rsidR="00EB4364" w:rsidRPr="00EB4364" w:rsidTr="00457DBA">
        <w:trPr>
          <w:trHeight w:val="223"/>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100</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1,810</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31,529</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133</w:t>
            </w:r>
          </w:p>
        </w:tc>
      </w:tr>
      <w:tr w:rsidR="00EB4364" w:rsidRPr="00EB4364" w:rsidTr="00457DBA">
        <w:trPr>
          <w:trHeight w:val="210"/>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101</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1,407</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29,220</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148</w:t>
            </w:r>
          </w:p>
        </w:tc>
      </w:tr>
      <w:tr w:rsidR="00EB4364" w:rsidRPr="00EB4364" w:rsidTr="00457DBA">
        <w:trPr>
          <w:trHeight w:val="210"/>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102</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1,079</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36,367</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207</w:t>
            </w:r>
          </w:p>
        </w:tc>
      </w:tr>
      <w:tr w:rsidR="00EB4364" w:rsidRPr="00EB4364" w:rsidTr="00457DBA">
        <w:trPr>
          <w:trHeight w:val="223"/>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103</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924</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32,752</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333</w:t>
            </w:r>
          </w:p>
        </w:tc>
      </w:tr>
      <w:tr w:rsidR="00EB4364" w:rsidRPr="00EB4364" w:rsidTr="00457DBA">
        <w:trPr>
          <w:trHeight w:val="210"/>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104</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823</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54,717</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403</w:t>
            </w:r>
          </w:p>
        </w:tc>
      </w:tr>
      <w:tr w:rsidR="00EB4364" w:rsidRPr="00EB4364" w:rsidTr="00457DBA">
        <w:trPr>
          <w:trHeight w:val="223"/>
        </w:trPr>
        <w:tc>
          <w:tcPr>
            <w:tcW w:w="652"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105</w:t>
            </w:r>
          </w:p>
        </w:tc>
        <w:tc>
          <w:tcPr>
            <w:tcW w:w="1188"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760</w:t>
            </w:r>
          </w:p>
        </w:tc>
        <w:tc>
          <w:tcPr>
            <w:tcW w:w="1473"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65,588</w:t>
            </w:r>
          </w:p>
        </w:tc>
        <w:tc>
          <w:tcPr>
            <w:tcW w:w="1687" w:type="pct"/>
            <w:vAlign w:val="center"/>
          </w:tcPr>
          <w:p w:rsidR="007C24E7" w:rsidRPr="00EB4364" w:rsidRDefault="007C24E7" w:rsidP="00457DBA">
            <w:pPr>
              <w:snapToGrid w:val="0"/>
              <w:spacing w:line="360" w:lineRule="exact"/>
              <w:jc w:val="center"/>
              <w:rPr>
                <w:rFonts w:hAnsi="標楷體"/>
                <w:sz w:val="28"/>
                <w:szCs w:val="28"/>
              </w:rPr>
            </w:pPr>
            <w:r w:rsidRPr="00EB4364">
              <w:rPr>
                <w:rFonts w:hAnsi="標楷體"/>
                <w:sz w:val="28"/>
                <w:szCs w:val="28"/>
              </w:rPr>
              <w:t>555</w:t>
            </w:r>
          </w:p>
        </w:tc>
      </w:tr>
    </w:tbl>
    <w:p w:rsidR="007C24E7" w:rsidRPr="00EB4364" w:rsidRDefault="007C24E7" w:rsidP="007C24E7">
      <w:pPr>
        <w:outlineLvl w:val="4"/>
        <w:rPr>
          <w:rFonts w:hAnsi="標楷體"/>
          <w:bCs/>
          <w:kern w:val="32"/>
          <w:sz w:val="28"/>
          <w:szCs w:val="28"/>
        </w:rPr>
      </w:pPr>
      <w:r w:rsidRPr="00EB4364">
        <w:rPr>
          <w:rFonts w:hAnsi="標楷體" w:hint="eastAsia"/>
          <w:bCs/>
          <w:kern w:val="32"/>
          <w:sz w:val="28"/>
          <w:szCs w:val="28"/>
        </w:rPr>
        <w:lastRenderedPageBreak/>
        <w:t>資料來源：</w:t>
      </w:r>
      <w:r w:rsidR="005E3DE8" w:rsidRPr="00EB4364">
        <w:rPr>
          <w:rFonts w:hAnsi="標楷體" w:hint="eastAsia"/>
          <w:bCs/>
          <w:kern w:val="32"/>
          <w:sz w:val="28"/>
          <w:szCs w:val="28"/>
        </w:rPr>
        <w:t>衛福部106年3月17日衛授家字第1060900231號函</w:t>
      </w:r>
      <w:r w:rsidRPr="00EB4364">
        <w:rPr>
          <w:rFonts w:hAnsi="標楷體" w:hint="eastAsia"/>
          <w:bCs/>
          <w:kern w:val="32"/>
          <w:sz w:val="28"/>
          <w:szCs w:val="28"/>
        </w:rPr>
        <w:t>。</w:t>
      </w:r>
    </w:p>
    <w:p w:rsidR="00F80EAB" w:rsidRPr="00EB4364" w:rsidRDefault="007C24E7" w:rsidP="005E0A41">
      <w:pPr>
        <w:pStyle w:val="3"/>
        <w:spacing w:line="264" w:lineRule="auto"/>
        <w:rPr>
          <w:rFonts w:hAnsi="標楷體"/>
          <w:color w:val="auto"/>
        </w:rPr>
      </w:pPr>
      <w:r w:rsidRPr="00EB4364">
        <w:rPr>
          <w:rFonts w:hAnsi="標楷體" w:hint="eastAsia"/>
          <w:color w:val="auto"/>
        </w:rPr>
        <w:t>復依106年4月13日教育部</w:t>
      </w:r>
      <w:r w:rsidR="00BF6784" w:rsidRPr="00EB4364">
        <w:rPr>
          <w:rFonts w:hAnsi="標楷體" w:hint="eastAsia"/>
          <w:color w:val="auto"/>
        </w:rPr>
        <w:t>國教署李</w:t>
      </w:r>
      <w:r w:rsidR="00974848" w:rsidRPr="00EB4364">
        <w:rPr>
          <w:rFonts w:hAnsi="標楷體" w:hint="eastAsia"/>
          <w:color w:val="auto"/>
        </w:rPr>
        <w:t>黛華</w:t>
      </w:r>
      <w:r w:rsidR="00BF6784" w:rsidRPr="00EB4364">
        <w:rPr>
          <w:rFonts w:hAnsi="標楷體" w:hint="eastAsia"/>
          <w:color w:val="auto"/>
        </w:rPr>
        <w:t>副組長</w:t>
      </w:r>
      <w:r w:rsidRPr="00EB4364">
        <w:rPr>
          <w:rFonts w:hAnsi="標楷體" w:hint="eastAsia"/>
          <w:color w:val="auto"/>
        </w:rPr>
        <w:t>接受本院詢問時</w:t>
      </w:r>
      <w:r w:rsidR="00BF6784" w:rsidRPr="00EB4364">
        <w:rPr>
          <w:rFonts w:hAnsi="標楷體" w:hint="eastAsia"/>
          <w:color w:val="auto"/>
        </w:rPr>
        <w:t>陳稱：「本部委託杏陵醫學基金會(專線02-29052067)，性教育教學資源網累計至去年6月210萬人次瀏覽，提供電話諮詢及性教育相關諮詢問題等。親職教育經費是補助給學</w:t>
      </w:r>
      <w:r w:rsidR="001423AC" w:rsidRPr="00EB4364">
        <w:rPr>
          <w:rFonts w:hAnsi="標楷體" w:hint="eastAsia"/>
          <w:color w:val="auto"/>
        </w:rPr>
        <w:t>校，對於環境改善，受教權維護包含學校設施，會再提醒學校提出申請</w:t>
      </w:r>
      <w:r w:rsidR="00BF6784" w:rsidRPr="00EB4364">
        <w:rPr>
          <w:rFonts w:hAnsi="標楷體" w:hint="eastAsia"/>
          <w:color w:val="auto"/>
        </w:rPr>
        <w:t>」等語。次依本院諮詢專家對現行</w:t>
      </w:r>
      <w:r w:rsidR="009C5A80" w:rsidRPr="00EB4364">
        <w:rPr>
          <w:rFonts w:hAnsi="標楷體" w:hint="eastAsia"/>
          <w:color w:val="auto"/>
        </w:rPr>
        <w:t>性別教育</w:t>
      </w:r>
      <w:r w:rsidR="00BF6784" w:rsidRPr="00EB4364">
        <w:rPr>
          <w:rFonts w:hAnsi="標楷體" w:hint="eastAsia"/>
          <w:color w:val="auto"/>
        </w:rPr>
        <w:t>表示諸如：「</w:t>
      </w:r>
      <w:r w:rsidR="00BF6784" w:rsidRPr="00EB4364">
        <w:rPr>
          <w:rFonts w:hAnsi="標楷體" w:hint="eastAsia"/>
          <w:color w:val="auto"/>
        </w:rPr>
        <w:tab/>
        <w:t>不僅是女方，男方也會有心理創傷。在實務上，男學生會越走越角落，因此我們也會輔導男生在性是需要負責任的，不僅是需要注重女方的感受，也要重視男方在被輔導上的需求。此外，性別教育師資培訓是缺乏的」、「</w:t>
      </w:r>
      <w:r w:rsidR="00CF395F" w:rsidRPr="00EB4364">
        <w:rPr>
          <w:rFonts w:hAnsi="標楷體" w:hint="eastAsia"/>
          <w:color w:val="auto"/>
        </w:rPr>
        <w:t>在街頭輔導時，我們也發現男同學會因為影片而被誤導。因</w:t>
      </w:r>
      <w:r w:rsidR="00545E46" w:rsidRPr="00EB4364">
        <w:rPr>
          <w:rFonts w:hAnsi="標楷體" w:hint="eastAsia"/>
          <w:color w:val="auto"/>
        </w:rPr>
        <w:t>此</w:t>
      </w:r>
      <w:r w:rsidR="00CF395F" w:rsidRPr="00EB4364">
        <w:rPr>
          <w:rFonts w:hAnsi="標楷體" w:hint="eastAsia"/>
          <w:color w:val="auto"/>
        </w:rPr>
        <w:t>我們會在街頭上與小情侶們討論，並給予正確觀念</w:t>
      </w:r>
      <w:r w:rsidR="00BF6784" w:rsidRPr="00EB4364">
        <w:rPr>
          <w:rFonts w:hAnsi="標楷體" w:hint="eastAsia"/>
          <w:color w:val="auto"/>
        </w:rPr>
        <w:t>」、「</w:t>
      </w:r>
      <w:r w:rsidR="00485BB4" w:rsidRPr="00EB4364">
        <w:rPr>
          <w:rFonts w:hAnsi="標楷體" w:hint="eastAsia"/>
          <w:color w:val="auto"/>
        </w:rPr>
        <w:t>性別教育要跟性教育做結合，女性需要有意識可以說NO，教育女性自主、自愛，有權力去協商。瑞典的性教育，將男性也拉進來性教育一環，教育他們保護女性是他們的責任</w:t>
      </w:r>
      <w:r w:rsidR="00BF6784" w:rsidRPr="00EB4364">
        <w:rPr>
          <w:rFonts w:hAnsi="標楷體" w:hint="eastAsia"/>
          <w:color w:val="auto"/>
        </w:rPr>
        <w:t>」、「</w:t>
      </w:r>
      <w:r w:rsidR="00485BB4" w:rsidRPr="00EB4364">
        <w:rPr>
          <w:rFonts w:hAnsi="標楷體" w:hint="eastAsia"/>
          <w:color w:val="auto"/>
        </w:rPr>
        <w:tab/>
        <w:t>除了教育孩子要有身體自主權，親密關係的協商也很重要</w:t>
      </w:r>
      <w:r w:rsidR="00BF6784" w:rsidRPr="00EB4364">
        <w:rPr>
          <w:rFonts w:hAnsi="標楷體" w:hint="eastAsia"/>
          <w:color w:val="auto"/>
        </w:rPr>
        <w:t>」等，</w:t>
      </w:r>
      <w:r w:rsidR="009C5A80" w:rsidRPr="00EB4364">
        <w:rPr>
          <w:rFonts w:hAnsi="標楷體" w:hint="eastAsia"/>
          <w:color w:val="auto"/>
        </w:rPr>
        <w:t>顯</w:t>
      </w:r>
      <w:r w:rsidR="00BF6784" w:rsidRPr="00EB4364">
        <w:rPr>
          <w:rFonts w:hAnsi="標楷體" w:hint="eastAsia"/>
          <w:color w:val="auto"/>
        </w:rPr>
        <w:t>見目前</w:t>
      </w:r>
      <w:r w:rsidR="009C5A80" w:rsidRPr="00EB4364">
        <w:rPr>
          <w:rFonts w:hAnsi="標楷體" w:hint="eastAsia"/>
          <w:color w:val="auto"/>
        </w:rPr>
        <w:t>我國性別教育</w:t>
      </w:r>
      <w:r w:rsidR="005C74A4" w:rsidRPr="00EB4364">
        <w:rPr>
          <w:rFonts w:hAnsi="標楷體" w:hint="eastAsia"/>
          <w:color w:val="auto"/>
        </w:rPr>
        <w:t>尚</w:t>
      </w:r>
      <w:r w:rsidR="009C5A80" w:rsidRPr="00EB4364">
        <w:rPr>
          <w:rFonts w:hAnsi="標楷體" w:hint="eastAsia"/>
          <w:color w:val="auto"/>
        </w:rPr>
        <w:t>有改進空間。</w:t>
      </w:r>
    </w:p>
    <w:p w:rsidR="00BC4519" w:rsidRPr="00EB4364" w:rsidRDefault="00904EA8" w:rsidP="005E0A41">
      <w:pPr>
        <w:pStyle w:val="3"/>
        <w:spacing w:line="264" w:lineRule="auto"/>
        <w:rPr>
          <w:rFonts w:hAnsi="標楷體"/>
          <w:color w:val="auto"/>
        </w:rPr>
      </w:pPr>
      <w:r w:rsidRPr="00EB4364">
        <w:rPr>
          <w:rFonts w:hAnsi="標楷體" w:hint="eastAsia"/>
          <w:color w:val="auto"/>
        </w:rPr>
        <w:t>綜上，</w:t>
      </w:r>
      <w:r w:rsidR="00C179D7" w:rsidRPr="00EB4364">
        <w:rPr>
          <w:rFonts w:hAnsi="標楷體" w:hint="eastAsia"/>
          <w:color w:val="auto"/>
        </w:rPr>
        <w:t>為使懷孕學生能有隱私及尊嚴地主動求助，避免對正規</w:t>
      </w:r>
      <w:r w:rsidR="009D2FF0" w:rsidRPr="00EB4364">
        <w:rPr>
          <w:rFonts w:hAnsi="標楷體" w:hint="eastAsia"/>
          <w:color w:val="auto"/>
        </w:rPr>
        <w:t>管道之</w:t>
      </w:r>
      <w:r w:rsidR="00C179D7" w:rsidRPr="00EB4364">
        <w:rPr>
          <w:rFonts w:hAnsi="標楷體" w:hint="eastAsia"/>
          <w:color w:val="auto"/>
        </w:rPr>
        <w:t>醫療服務卻步，學校應於輔導協助過程中，嚴守專業倫理，尊重學生隱私，採取必要之保密措施，並整合教育、社政、戶政、勞工、衛生醫療、警政等單位之資源，提供懷孕或育有子女之學生輔導、轉介、安置、保健、就業、家庭支</w:t>
      </w:r>
      <w:r w:rsidR="00C179D7" w:rsidRPr="00EB4364">
        <w:rPr>
          <w:rFonts w:hAnsi="標楷體" w:hint="eastAsia"/>
          <w:color w:val="auto"/>
        </w:rPr>
        <w:lastRenderedPageBreak/>
        <w:t>持、經濟安全、法律協助及多元適性教育；另</w:t>
      </w:r>
      <w:r w:rsidR="005544E0" w:rsidRPr="00EB4364">
        <w:rPr>
          <w:rFonts w:hAnsi="標楷體" w:hint="eastAsia"/>
          <w:color w:val="auto"/>
        </w:rPr>
        <w:t>為培養學生建立健康安全之性態度，學習避免非預期懷孕之知能，並教導校園師生及家長對懷孕及育有子女之學生採取接納、關懷之態度，以積極保障懷孕及育有子女學生之受教權，行政院</w:t>
      </w:r>
      <w:r w:rsidR="00E646FD" w:rsidRPr="00EB4364">
        <w:rPr>
          <w:rFonts w:hAnsi="標楷體" w:hint="eastAsia"/>
          <w:color w:val="auto"/>
        </w:rPr>
        <w:t>允</w:t>
      </w:r>
      <w:r w:rsidR="005544E0" w:rsidRPr="00EB4364">
        <w:rPr>
          <w:rFonts w:hAnsi="標楷體" w:hint="eastAsia"/>
          <w:color w:val="auto"/>
        </w:rPr>
        <w:t>宜督促所屬</w:t>
      </w:r>
      <w:r w:rsidR="00BC4519" w:rsidRPr="00EB4364">
        <w:rPr>
          <w:rFonts w:hAnsi="標楷體" w:hint="eastAsia"/>
          <w:color w:val="auto"/>
        </w:rPr>
        <w:t>強化青少年性健康教育，並</w:t>
      </w:r>
      <w:r w:rsidR="00476AD2" w:rsidRPr="00EB4364">
        <w:rPr>
          <w:rFonts w:hAnsi="標楷體" w:hint="eastAsia"/>
          <w:color w:val="auto"/>
        </w:rPr>
        <w:t>因應</w:t>
      </w:r>
      <w:r w:rsidR="00705B95" w:rsidRPr="00EB4364">
        <w:rPr>
          <w:rFonts w:hAnsi="標楷體" w:hint="eastAsia"/>
          <w:color w:val="auto"/>
        </w:rPr>
        <w:t>新興數位時代趨勢</w:t>
      </w:r>
      <w:r w:rsidR="00476AD2" w:rsidRPr="00EB4364">
        <w:rPr>
          <w:rFonts w:hAnsi="標楷體" w:hint="eastAsia"/>
          <w:color w:val="auto"/>
        </w:rPr>
        <w:t>，</w:t>
      </w:r>
      <w:r w:rsidR="00BC4519" w:rsidRPr="00EB4364">
        <w:rPr>
          <w:rFonts w:hAnsi="標楷體" w:hint="eastAsia"/>
          <w:color w:val="auto"/>
        </w:rPr>
        <w:t>改善</w:t>
      </w:r>
      <w:r w:rsidR="00476AD2" w:rsidRPr="00EB4364">
        <w:rPr>
          <w:rFonts w:hAnsi="標楷體" w:hint="eastAsia"/>
          <w:color w:val="auto"/>
        </w:rPr>
        <w:t>相關</w:t>
      </w:r>
      <w:r w:rsidR="00BC4519" w:rsidRPr="00EB4364">
        <w:rPr>
          <w:rFonts w:hAnsi="標楷體" w:hint="eastAsia"/>
          <w:color w:val="auto"/>
        </w:rPr>
        <w:t>宣導策略，</w:t>
      </w:r>
      <w:r w:rsidR="00476AD2" w:rsidRPr="00EB4364">
        <w:rPr>
          <w:rFonts w:hAnsi="標楷體" w:hint="eastAsia"/>
          <w:color w:val="auto"/>
        </w:rPr>
        <w:t>妥適</w:t>
      </w:r>
      <w:r w:rsidR="00BC4519" w:rsidRPr="00EB4364">
        <w:rPr>
          <w:rFonts w:hAnsi="標楷體" w:hint="eastAsia"/>
          <w:color w:val="auto"/>
        </w:rPr>
        <w:t>調整宣導</w:t>
      </w:r>
      <w:r w:rsidR="00476AD2" w:rsidRPr="00EB4364">
        <w:rPr>
          <w:rFonts w:hAnsi="標楷體" w:hint="eastAsia"/>
          <w:color w:val="auto"/>
        </w:rPr>
        <w:t>媒介</w:t>
      </w:r>
      <w:r w:rsidR="00BC4519" w:rsidRPr="00EB4364">
        <w:rPr>
          <w:rFonts w:hAnsi="標楷體" w:hint="eastAsia"/>
          <w:color w:val="auto"/>
        </w:rPr>
        <w:t>，</w:t>
      </w:r>
      <w:r w:rsidR="00374EB7" w:rsidRPr="00EB4364">
        <w:rPr>
          <w:rFonts w:hAnsi="標楷體" w:hint="eastAsia"/>
          <w:color w:val="auto"/>
        </w:rPr>
        <w:t>俾</w:t>
      </w:r>
      <w:r w:rsidR="00BC4519" w:rsidRPr="00EB4364">
        <w:rPr>
          <w:rFonts w:hAnsi="標楷體" w:hint="eastAsia"/>
          <w:color w:val="auto"/>
        </w:rPr>
        <w:t>落實性別平等教育法</w:t>
      </w:r>
      <w:r w:rsidR="001B4A2B" w:rsidRPr="00EB4364">
        <w:rPr>
          <w:rFonts w:hAnsi="標楷體" w:hint="eastAsia"/>
          <w:color w:val="auto"/>
        </w:rPr>
        <w:t>等</w:t>
      </w:r>
      <w:r w:rsidR="00BC4519" w:rsidRPr="00EB4364">
        <w:rPr>
          <w:rFonts w:hAnsi="標楷體" w:hint="eastAsia"/>
          <w:color w:val="auto"/>
        </w:rPr>
        <w:t>相關規定</w:t>
      </w:r>
      <w:r w:rsidR="00476AD2" w:rsidRPr="00EB4364">
        <w:rPr>
          <w:rFonts w:hAnsi="標楷體" w:hint="eastAsia"/>
          <w:color w:val="auto"/>
        </w:rPr>
        <w:t>，</w:t>
      </w:r>
      <w:r w:rsidR="00BC4519" w:rsidRPr="00EB4364">
        <w:rPr>
          <w:rFonts w:hAnsi="標楷體" w:hint="eastAsia"/>
          <w:color w:val="auto"/>
        </w:rPr>
        <w:t>以確保</w:t>
      </w:r>
      <w:r w:rsidR="00C179D7" w:rsidRPr="00EB4364">
        <w:rPr>
          <w:rFonts w:hAnsi="標楷體" w:hint="eastAsia"/>
          <w:color w:val="auto"/>
        </w:rPr>
        <w:t>青少年之</w:t>
      </w:r>
      <w:r w:rsidR="005544E0" w:rsidRPr="00EB4364">
        <w:rPr>
          <w:rFonts w:hAnsi="標楷體" w:hint="eastAsia"/>
          <w:color w:val="auto"/>
        </w:rPr>
        <w:t>受教權及健康權。</w:t>
      </w:r>
    </w:p>
    <w:p w:rsidR="00E25849" w:rsidRPr="00EB4364" w:rsidRDefault="00E25849" w:rsidP="00E31C57">
      <w:pPr>
        <w:pStyle w:val="1"/>
        <w:ind w:left="2380" w:hanging="2380"/>
        <w:rPr>
          <w:rFonts w:hAnsi="標楷體"/>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EB4364">
        <w:rPr>
          <w:rFonts w:hAnsi="標楷體"/>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EB4364">
        <w:rPr>
          <w:rFonts w:hAnsi="標楷體"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E25849" w:rsidRPr="00EB4364" w:rsidRDefault="00FB7770">
      <w:pPr>
        <w:pStyle w:val="2"/>
        <w:rPr>
          <w:rFonts w:hAnsi="標楷體"/>
        </w:rPr>
      </w:pPr>
      <w:bookmarkStart w:id="78" w:name="_Toc524895649"/>
      <w:bookmarkStart w:id="79" w:name="_Toc524896195"/>
      <w:bookmarkStart w:id="80" w:name="_Toc524896225"/>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78"/>
      <w:bookmarkEnd w:id="79"/>
      <w:bookmarkEnd w:id="80"/>
      <w:r w:rsidRPr="00EB4364">
        <w:rPr>
          <w:rFonts w:hAnsi="標楷體" w:hint="eastAsia"/>
        </w:rPr>
        <w:t>調查意見</w:t>
      </w:r>
      <w:r w:rsidR="007717B3" w:rsidRPr="00EB4364">
        <w:rPr>
          <w:rFonts w:hAnsi="標楷體" w:hint="eastAsia"/>
        </w:rPr>
        <w:t>一</w:t>
      </w:r>
      <w:r w:rsidR="00E2720F" w:rsidRPr="00EB4364">
        <w:rPr>
          <w:rFonts w:hAnsi="標楷體" w:hint="eastAsia"/>
        </w:rPr>
        <w:t>至</w:t>
      </w:r>
      <w:r w:rsidR="00E646FD" w:rsidRPr="00EB4364">
        <w:rPr>
          <w:rFonts w:hAnsi="標楷體" w:hint="eastAsia"/>
        </w:rPr>
        <w:t>四</w:t>
      </w:r>
      <w:r w:rsidRPr="00EB4364">
        <w:rPr>
          <w:rFonts w:hAnsi="標楷體" w:hint="eastAsia"/>
        </w:rPr>
        <w:t>，</w:t>
      </w:r>
      <w:bookmarkStart w:id="107" w:name="_Toc70241818"/>
      <w:bookmarkStart w:id="108" w:name="_Toc70242207"/>
      <w:bookmarkStart w:id="109" w:name="_Toc421794879"/>
      <w:bookmarkStart w:id="110" w:name="_Toc421795445"/>
      <w:bookmarkStart w:id="111" w:name="_Toc421796026"/>
      <w:bookmarkStart w:id="112" w:name="_Toc422728961"/>
      <w:bookmarkStart w:id="113" w:name="_Toc422834164"/>
      <w:bookmarkStart w:id="114" w:name="_Toc69556899"/>
      <w:bookmarkStart w:id="115" w:name="_Toc69556948"/>
      <w:bookmarkStart w:id="116" w:name="_Toc6960982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E25849" w:rsidRPr="00EB4364">
        <w:rPr>
          <w:rFonts w:hAnsi="標楷體" w:hint="eastAsia"/>
        </w:rPr>
        <w:t>函請</w:t>
      </w:r>
      <w:r w:rsidR="007717B3" w:rsidRPr="00EB4364">
        <w:rPr>
          <w:rFonts w:hAnsi="標楷體" w:hint="eastAsia"/>
        </w:rPr>
        <w:t>行政院</w:t>
      </w:r>
      <w:r w:rsidR="00E25849" w:rsidRPr="00EB4364">
        <w:rPr>
          <w:rFonts w:hAnsi="標楷體" w:hint="eastAsia"/>
        </w:rPr>
        <w:t>轉</w:t>
      </w:r>
      <w:r w:rsidR="00E646FD" w:rsidRPr="00EB4364">
        <w:rPr>
          <w:rFonts w:hAnsi="標楷體" w:hint="eastAsia"/>
        </w:rPr>
        <w:t>督促所屬教育部、衛生福利部確實檢討改善</w:t>
      </w:r>
      <w:r w:rsidR="007717B3" w:rsidRPr="00EB4364">
        <w:rPr>
          <w:rFonts w:hAnsi="標楷體" w:hint="eastAsia"/>
        </w:rPr>
        <w:t>見復</w:t>
      </w:r>
      <w:r w:rsidR="00E25849" w:rsidRPr="00EB4364">
        <w:rPr>
          <w:rFonts w:hAnsi="標楷體" w:hint="eastAsia"/>
        </w:rPr>
        <w:t>。</w:t>
      </w:r>
      <w:bookmarkEnd w:id="107"/>
      <w:bookmarkEnd w:id="108"/>
      <w:bookmarkEnd w:id="109"/>
      <w:bookmarkEnd w:id="110"/>
      <w:bookmarkEnd w:id="111"/>
      <w:bookmarkEnd w:id="112"/>
      <w:bookmarkEnd w:id="113"/>
    </w:p>
    <w:p w:rsidR="00E25849" w:rsidRPr="00EB4364" w:rsidRDefault="00E25849">
      <w:pPr>
        <w:pStyle w:val="2"/>
        <w:rPr>
          <w:rFonts w:hAnsi="標楷體"/>
        </w:rPr>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6"/>
      <w:bookmarkEnd w:id="97"/>
      <w:bookmarkEnd w:id="98"/>
      <w:bookmarkEnd w:id="99"/>
      <w:bookmarkEnd w:id="100"/>
      <w:bookmarkEnd w:id="101"/>
      <w:bookmarkEnd w:id="102"/>
      <w:bookmarkEnd w:id="103"/>
      <w:bookmarkEnd w:id="104"/>
      <w:bookmarkEnd w:id="105"/>
      <w:bookmarkEnd w:id="106"/>
      <w:bookmarkEnd w:id="114"/>
      <w:bookmarkEnd w:id="115"/>
      <w:bookmarkEnd w:id="116"/>
      <w:r w:rsidRPr="00EB4364">
        <w:rPr>
          <w:rFonts w:hAnsi="標楷體" w:hint="eastAsia"/>
        </w:rPr>
        <w:t>檢附派查函及相關附件，送請</w:t>
      </w:r>
      <w:r w:rsidR="00E2720F" w:rsidRPr="00EB4364">
        <w:rPr>
          <w:rFonts w:hAnsi="標楷體" w:hint="eastAsia"/>
        </w:rPr>
        <w:t>內政及少數民族</w:t>
      </w:r>
      <w:r w:rsidRPr="00EB4364">
        <w:rPr>
          <w:rFonts w:hAnsi="標楷體" w:hint="eastAsia"/>
        </w:rPr>
        <w:t>委員會處理。</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E25849" w:rsidRPr="00EB4364" w:rsidRDefault="00E25849" w:rsidP="00ED1963">
      <w:pPr>
        <w:pStyle w:val="aa"/>
        <w:spacing w:beforeLines="150" w:before="685" w:after="0"/>
        <w:ind w:leftChars="1100" w:left="3742"/>
        <w:rPr>
          <w:rFonts w:hAnsi="標楷體"/>
          <w:b w:val="0"/>
          <w:bCs/>
          <w:snapToGrid/>
          <w:spacing w:val="0"/>
          <w:kern w:val="0"/>
          <w:sz w:val="40"/>
        </w:rPr>
      </w:pPr>
      <w:r w:rsidRPr="00EB4364">
        <w:rPr>
          <w:rFonts w:hAnsi="標楷體" w:hint="eastAsia"/>
          <w:b w:val="0"/>
          <w:bCs/>
          <w:snapToGrid/>
          <w:spacing w:val="12"/>
          <w:kern w:val="0"/>
          <w:sz w:val="40"/>
        </w:rPr>
        <w:t>調查委員：</w:t>
      </w:r>
      <w:r w:rsidR="00EB4364">
        <w:rPr>
          <w:rFonts w:hAnsi="標楷體" w:hint="eastAsia"/>
          <w:b w:val="0"/>
          <w:bCs/>
          <w:snapToGrid/>
          <w:spacing w:val="12"/>
          <w:kern w:val="0"/>
          <w:sz w:val="40"/>
        </w:rPr>
        <w:t>尹祚芊</w:t>
      </w:r>
    </w:p>
    <w:p w:rsidR="00E25849" w:rsidRPr="00EB4364" w:rsidRDefault="00EB4364">
      <w:pPr>
        <w:pStyle w:val="aa"/>
        <w:spacing w:before="0" w:after="0"/>
        <w:ind w:leftChars="1100" w:left="3742" w:firstLineChars="500" w:firstLine="2021"/>
        <w:rPr>
          <w:rFonts w:hAnsi="標楷體"/>
          <w:b w:val="0"/>
          <w:bCs/>
          <w:snapToGrid/>
          <w:spacing w:val="12"/>
          <w:kern w:val="0"/>
        </w:rPr>
      </w:pPr>
      <w:r>
        <w:rPr>
          <w:rFonts w:hAnsi="標楷體" w:hint="eastAsia"/>
          <w:b w:val="0"/>
          <w:bCs/>
          <w:snapToGrid/>
          <w:spacing w:val="12"/>
          <w:kern w:val="0"/>
        </w:rPr>
        <w:t xml:space="preserve"> 王美玉</w:t>
      </w:r>
      <w:bookmarkStart w:id="130" w:name="_GoBack"/>
      <w:bookmarkEnd w:id="130"/>
    </w:p>
    <w:p w:rsidR="007717B3" w:rsidRPr="00EB4364" w:rsidRDefault="007717B3">
      <w:pPr>
        <w:pStyle w:val="aa"/>
        <w:spacing w:before="0" w:after="0"/>
        <w:ind w:leftChars="1100" w:left="3742" w:firstLineChars="500" w:firstLine="2021"/>
        <w:rPr>
          <w:rFonts w:hAnsi="標楷體"/>
          <w:b w:val="0"/>
          <w:bCs/>
          <w:snapToGrid/>
          <w:spacing w:val="12"/>
          <w:kern w:val="0"/>
        </w:rPr>
      </w:pPr>
    </w:p>
    <w:p w:rsidR="007717B3" w:rsidRPr="00EB4364" w:rsidRDefault="007717B3">
      <w:pPr>
        <w:pStyle w:val="aa"/>
        <w:spacing w:before="0" w:after="0"/>
        <w:ind w:leftChars="1100" w:left="3742" w:firstLineChars="500" w:firstLine="2021"/>
        <w:rPr>
          <w:b w:val="0"/>
          <w:bCs/>
          <w:snapToGrid/>
          <w:spacing w:val="12"/>
          <w:kern w:val="0"/>
        </w:rPr>
      </w:pPr>
    </w:p>
    <w:p w:rsidR="007717B3" w:rsidRPr="00EB4364" w:rsidRDefault="007717B3">
      <w:pPr>
        <w:pStyle w:val="aa"/>
        <w:spacing w:before="0" w:after="0"/>
        <w:ind w:leftChars="1100" w:left="3742" w:firstLineChars="500" w:firstLine="2021"/>
        <w:rPr>
          <w:b w:val="0"/>
          <w:bCs/>
          <w:snapToGrid/>
          <w:spacing w:val="12"/>
          <w:kern w:val="0"/>
        </w:rPr>
      </w:pPr>
    </w:p>
    <w:p w:rsidR="007717B3" w:rsidRPr="00EB4364" w:rsidRDefault="007717B3">
      <w:pPr>
        <w:pStyle w:val="aa"/>
        <w:spacing w:before="0" w:after="0"/>
        <w:ind w:leftChars="1100" w:left="3742" w:firstLineChars="500" w:firstLine="2021"/>
        <w:rPr>
          <w:b w:val="0"/>
          <w:bCs/>
          <w:snapToGrid/>
          <w:spacing w:val="12"/>
          <w:kern w:val="0"/>
        </w:rPr>
      </w:pPr>
    </w:p>
    <w:p w:rsidR="0072135E" w:rsidRPr="00EB4364" w:rsidRDefault="0072135E" w:rsidP="00EB4364">
      <w:pPr>
        <w:pStyle w:val="a0"/>
        <w:numPr>
          <w:ilvl w:val="0"/>
          <w:numId w:val="0"/>
        </w:numPr>
        <w:ind w:left="400" w:hanging="400"/>
        <w:rPr>
          <w:rFonts w:hint="eastAsia"/>
        </w:rPr>
        <w:sectPr w:rsidR="0072135E" w:rsidRPr="00EB4364"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72135E" w:rsidRPr="00EB4364" w:rsidRDefault="0072135E" w:rsidP="0072135E">
      <w:pPr>
        <w:pStyle w:val="a0"/>
        <w:ind w:left="1361" w:hanging="1361"/>
        <w:rPr>
          <w:sz w:val="28"/>
        </w:rPr>
      </w:pPr>
      <w:r w:rsidRPr="00EB4364">
        <w:rPr>
          <w:rFonts w:hint="eastAsia"/>
          <w:noProof/>
        </w:rPr>
        <w:lastRenderedPageBreak/>
        <w:drawing>
          <wp:anchor distT="0" distB="0" distL="114300" distR="114300" simplePos="0" relativeHeight="251661312" behindDoc="1" locked="0" layoutInCell="1" allowOverlap="1" wp14:anchorId="5522613B" wp14:editId="22F8F64B">
            <wp:simplePos x="0" y="0"/>
            <wp:positionH relativeFrom="column">
              <wp:posOffset>-105410</wp:posOffset>
            </wp:positionH>
            <wp:positionV relativeFrom="paragraph">
              <wp:posOffset>498475</wp:posOffset>
            </wp:positionV>
            <wp:extent cx="8965565" cy="4604385"/>
            <wp:effectExtent l="0" t="0" r="6985" b="5715"/>
            <wp:wrapThrough wrapText="bothSides">
              <wp:wrapPolygon edited="0">
                <wp:start x="0" y="0"/>
                <wp:lineTo x="0" y="21537"/>
                <wp:lineTo x="21571" y="21537"/>
                <wp:lineTo x="21571" y="0"/>
                <wp:lineTo x="0" y="0"/>
              </wp:wrapPolygon>
            </wp:wrapThrough>
            <wp:docPr id="5" name="圖片 5" descr="附表1-曾經懷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表1-曾經懷孕"/>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5565" cy="460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364">
        <w:rPr>
          <w:rFonts w:hint="eastAsia"/>
        </w:rPr>
        <w:t>104年</w:t>
      </w:r>
      <w:r w:rsidRPr="00EB4364">
        <w:rPr>
          <w:rFonts w:hint="eastAsia"/>
          <w:sz w:val="28"/>
        </w:rPr>
        <w:t>「高中、高職、五專學生健康行為調查」推估青少女曾經懷孕人數</w:t>
      </w:r>
    </w:p>
    <w:p w:rsidR="0072135E" w:rsidRPr="00EB4364" w:rsidRDefault="0072135E" w:rsidP="0072135E">
      <w:pPr>
        <w:pStyle w:val="a0"/>
        <w:numPr>
          <w:ilvl w:val="0"/>
          <w:numId w:val="0"/>
        </w:numPr>
        <w:ind w:left="1361"/>
        <w:rPr>
          <w:sz w:val="28"/>
        </w:rPr>
      </w:pPr>
      <w:r w:rsidRPr="00EB4364">
        <w:rPr>
          <w:rFonts w:hint="eastAsia"/>
          <w:sz w:val="28"/>
        </w:rPr>
        <w:t>資料來源</w:t>
      </w:r>
      <w:r w:rsidRPr="00EB4364">
        <w:rPr>
          <w:rFonts w:hAnsi="標楷體" w:hint="eastAsia"/>
          <w:sz w:val="28"/>
        </w:rPr>
        <w:t>：衛福部106年4月27日衛授國字第1060400960號函附件。</w:t>
      </w:r>
    </w:p>
    <w:p w:rsidR="0072135E" w:rsidRPr="00EB4364" w:rsidRDefault="0072135E" w:rsidP="0072135E">
      <w:pPr>
        <w:pStyle w:val="a0"/>
        <w:ind w:left="1361" w:hanging="1361"/>
      </w:pPr>
      <w:r w:rsidRPr="00EB4364">
        <w:rPr>
          <w:rFonts w:hint="eastAsia"/>
        </w:rPr>
        <w:lastRenderedPageBreak/>
        <w:t>104年「高中、高職、五專學生健康行為調查」推估青少女曾經墮胎人數</w:t>
      </w:r>
    </w:p>
    <w:p w:rsidR="0072135E" w:rsidRPr="00EB4364" w:rsidRDefault="0072135E" w:rsidP="0072135E">
      <w:pPr>
        <w:pStyle w:val="a0"/>
        <w:numPr>
          <w:ilvl w:val="0"/>
          <w:numId w:val="0"/>
        </w:numPr>
        <w:ind w:left="1361"/>
        <w:rPr>
          <w:sz w:val="28"/>
        </w:rPr>
      </w:pPr>
      <w:r w:rsidRPr="00EB4364">
        <w:rPr>
          <w:rFonts w:hint="eastAsia"/>
          <w:sz w:val="28"/>
        </w:rPr>
        <w:t>資料來源</w:t>
      </w:r>
      <w:r w:rsidRPr="00EB4364">
        <w:rPr>
          <w:rFonts w:hAnsi="標楷體" w:hint="eastAsia"/>
          <w:sz w:val="28"/>
        </w:rPr>
        <w:t>：衛福部106年4月27日衛授國字第1060400960號函附件。</w:t>
      </w:r>
      <w:r w:rsidRPr="00EB4364">
        <w:rPr>
          <w:noProof/>
          <w:sz w:val="28"/>
        </w:rPr>
        <w:drawing>
          <wp:anchor distT="0" distB="0" distL="114300" distR="114300" simplePos="0" relativeHeight="251662336" behindDoc="1" locked="0" layoutInCell="1" allowOverlap="1" wp14:anchorId="7A03E7E8" wp14:editId="02E4A513">
            <wp:simplePos x="0" y="0"/>
            <wp:positionH relativeFrom="column">
              <wp:posOffset>-32385</wp:posOffset>
            </wp:positionH>
            <wp:positionV relativeFrom="paragraph">
              <wp:posOffset>29210</wp:posOffset>
            </wp:positionV>
            <wp:extent cx="9243060" cy="4785360"/>
            <wp:effectExtent l="0" t="0" r="0" b="0"/>
            <wp:wrapThrough wrapText="bothSides">
              <wp:wrapPolygon edited="0">
                <wp:start x="0" y="0"/>
                <wp:lineTo x="0" y="21497"/>
                <wp:lineTo x="21547" y="21497"/>
                <wp:lineTo x="21547" y="0"/>
                <wp:lineTo x="0" y="0"/>
              </wp:wrapPolygon>
            </wp:wrapThrough>
            <wp:docPr id="8" name="圖片 8" descr="附表2-墮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附表2-墮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306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135E" w:rsidRPr="00EB4364" w:rsidSect="0072135E">
      <w:pgSz w:w="16840" w:h="11907" w:orient="landscape" w:code="9"/>
      <w:pgMar w:top="1418" w:right="1701"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9F" w:rsidRDefault="00EB719F">
      <w:r>
        <w:separator/>
      </w:r>
    </w:p>
  </w:endnote>
  <w:endnote w:type="continuationSeparator" w:id="0">
    <w:p w:rsidR="00EB719F" w:rsidRDefault="00EB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A5" w:rsidRDefault="007C65A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B4364">
      <w:rPr>
        <w:rStyle w:val="ac"/>
        <w:noProof/>
        <w:sz w:val="24"/>
      </w:rPr>
      <w:t>17</w:t>
    </w:r>
    <w:r>
      <w:rPr>
        <w:rStyle w:val="ac"/>
        <w:sz w:val="24"/>
      </w:rPr>
      <w:fldChar w:fldCharType="end"/>
    </w:r>
  </w:p>
  <w:p w:rsidR="007C65A5" w:rsidRDefault="007C65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9F" w:rsidRDefault="00EB719F">
      <w:r>
        <w:separator/>
      </w:r>
    </w:p>
  </w:footnote>
  <w:footnote w:type="continuationSeparator" w:id="0">
    <w:p w:rsidR="00EB719F" w:rsidRDefault="00EB719F">
      <w:r>
        <w:continuationSeparator/>
      </w:r>
    </w:p>
  </w:footnote>
  <w:footnote w:id="1">
    <w:p w:rsidR="007C65A5" w:rsidRPr="00901BB3" w:rsidRDefault="007C65A5" w:rsidP="003B4262">
      <w:pPr>
        <w:pStyle w:val="afa"/>
        <w:jc w:val="both"/>
        <w:rPr>
          <w:rFonts w:ascii="Times New Roman"/>
        </w:rPr>
      </w:pPr>
      <w:r w:rsidRPr="00901BB3">
        <w:rPr>
          <w:rStyle w:val="afc"/>
          <w:rFonts w:ascii="Times New Roman"/>
        </w:rPr>
        <w:footnoteRef/>
      </w:r>
      <w:r w:rsidRPr="00901BB3">
        <w:rPr>
          <w:rFonts w:ascii="Times New Roman"/>
        </w:rPr>
        <w:t xml:space="preserve"> </w:t>
      </w:r>
      <w:r w:rsidRPr="00901BB3">
        <w:rPr>
          <w:rFonts w:ascii="Times New Roman"/>
        </w:rPr>
        <w:t>本報告年份表示方式，如屬國內者，以民國表示；如屬國外或涉及國際事務者，則以西元表示。又依文書作業手冊規定，外文或譯文，以西元表示。</w:t>
      </w:r>
    </w:p>
  </w:footnote>
  <w:footnote w:id="2">
    <w:p w:rsidR="007C65A5" w:rsidRPr="00901BB3" w:rsidRDefault="007C65A5" w:rsidP="003B4262">
      <w:pPr>
        <w:pStyle w:val="afa"/>
        <w:jc w:val="both"/>
        <w:rPr>
          <w:rFonts w:ascii="Times New Roman"/>
        </w:rPr>
      </w:pPr>
      <w:r w:rsidRPr="00901BB3">
        <w:rPr>
          <w:rStyle w:val="afc"/>
          <w:rFonts w:ascii="Times New Roman"/>
        </w:rPr>
        <w:footnoteRef/>
      </w:r>
      <w:r w:rsidRPr="00901BB3">
        <w:rPr>
          <w:rFonts w:ascii="Times New Roman"/>
        </w:rPr>
        <w:t xml:space="preserve"> </w:t>
      </w:r>
      <w:r w:rsidRPr="00901BB3">
        <w:rPr>
          <w:rFonts w:ascii="Times New Roman"/>
        </w:rPr>
        <w:t>原文：</w:t>
      </w:r>
      <w:r w:rsidRPr="00901BB3">
        <w:rPr>
          <w:rFonts w:ascii="Times New Roman"/>
          <w:color w:val="7030A0"/>
        </w:rPr>
        <w:t>‘‘</w:t>
      </w:r>
      <w:r w:rsidRPr="00901BB3">
        <w:rPr>
          <w:rFonts w:ascii="Times New Roman"/>
        </w:rPr>
        <w:t>1.The States Parties to the present Covenant recognize the right of everyone to the enjoyment of the highest attainable standard of physical and mental health. 2. The steps to be taken by the States Parties to the present Covenant to achieve the full realization of this right shall include those necessary for:(a) The provision for the reduction of the stillbirth-rate and of infant mortality and for the healthy de</w:t>
      </w:r>
      <w:r>
        <w:rPr>
          <w:rFonts w:ascii="Times New Roman"/>
        </w:rPr>
        <w:t>velopment of the child;…</w:t>
      </w:r>
      <w:r w:rsidRPr="00901BB3">
        <w:rPr>
          <w:rFonts w:ascii="Times New Roman"/>
        </w:rPr>
        <w:t>”</w:t>
      </w:r>
    </w:p>
  </w:footnote>
  <w:footnote w:id="3">
    <w:p w:rsidR="007C65A5" w:rsidRPr="000B5B53" w:rsidRDefault="007C65A5" w:rsidP="003B4262">
      <w:pPr>
        <w:pStyle w:val="afa"/>
        <w:jc w:val="both"/>
      </w:pPr>
      <w:r w:rsidRPr="00901BB3">
        <w:rPr>
          <w:rStyle w:val="afc"/>
          <w:rFonts w:ascii="Times New Roman"/>
        </w:rPr>
        <w:footnoteRef/>
      </w:r>
      <w:r w:rsidRPr="00901BB3">
        <w:rPr>
          <w:rFonts w:ascii="Times New Roman"/>
        </w:rPr>
        <w:t xml:space="preserve"> </w:t>
      </w:r>
      <w:r w:rsidRPr="00901BB3">
        <w:rPr>
          <w:rFonts w:ascii="Times New Roman"/>
        </w:rPr>
        <w:t>原文：</w:t>
      </w:r>
      <w:r w:rsidRPr="00901BB3">
        <w:rPr>
          <w:rFonts w:ascii="Times New Roman"/>
          <w:color w:val="7030A0"/>
        </w:rPr>
        <w:t>‘‘</w:t>
      </w:r>
      <w:r w:rsidRPr="00901BB3">
        <w:rPr>
          <w:rFonts w:ascii="Times New Roman"/>
        </w:rPr>
        <w:t>1. States Parties shall take all appropriate measures to eliminate discrimination against women in the field of health care in order to ensure, on a basis of equality of men and women, access to health care services, including those related to family planning.</w:t>
      </w:r>
      <w:r w:rsidRPr="00901BB3">
        <w:rPr>
          <w:rFonts w:ascii="Times New Roman"/>
        </w:rPr>
        <w:tab/>
        <w:t>2. Notwithstanding the provisions of paragraph I of this article, States Parties shall ensure to women appropriate services in connection with pregnancy, confinement and the post-natal period, granting free services where necessary, as well as adequate nutrition during pregnancy and lactation.</w:t>
      </w:r>
      <w:r w:rsidRPr="00901BB3">
        <w:rPr>
          <w:rFonts w:ascii="Times New Roman"/>
          <w:color w:val="7030A0"/>
        </w:rPr>
        <w:t xml:space="preserve"> ”</w:t>
      </w:r>
    </w:p>
  </w:footnote>
  <w:footnote w:id="4">
    <w:p w:rsidR="007C65A5" w:rsidRPr="00234C92" w:rsidRDefault="007C65A5" w:rsidP="00385F26">
      <w:pPr>
        <w:pStyle w:val="afa"/>
        <w:jc w:val="both"/>
        <w:rPr>
          <w:rFonts w:ascii="Times New Roman"/>
        </w:rPr>
      </w:pPr>
      <w:r w:rsidRPr="00234C92">
        <w:rPr>
          <w:rStyle w:val="afc"/>
          <w:rFonts w:ascii="Times New Roman"/>
          <w:color w:val="000000" w:themeColor="text1"/>
        </w:rPr>
        <w:footnoteRef/>
      </w:r>
      <w:r w:rsidRPr="00234C92">
        <w:rPr>
          <w:rFonts w:ascii="Times New Roman"/>
          <w:color w:val="000000" w:themeColor="text1"/>
          <w:vertAlign w:val="superscript"/>
        </w:rPr>
        <w:t xml:space="preserve"> </w:t>
      </w:r>
      <w:r w:rsidRPr="00234C92">
        <w:rPr>
          <w:rFonts w:ascii="Times New Roman"/>
          <w:color w:val="000000" w:themeColor="text1"/>
        </w:rPr>
        <w:t>內政部</w:t>
      </w:r>
      <w:r w:rsidRPr="00234C92">
        <w:rPr>
          <w:rFonts w:ascii="Times New Roman"/>
          <w:color w:val="000000" w:themeColor="text1"/>
        </w:rPr>
        <w:t>106</w:t>
      </w:r>
      <w:r w:rsidRPr="00234C92">
        <w:rPr>
          <w:rFonts w:ascii="Times New Roman"/>
          <w:color w:val="000000" w:themeColor="text1"/>
        </w:rPr>
        <w:t>年</w:t>
      </w:r>
      <w:r w:rsidRPr="00234C92">
        <w:rPr>
          <w:rFonts w:ascii="Times New Roman"/>
          <w:color w:val="000000" w:themeColor="text1"/>
        </w:rPr>
        <w:t>1</w:t>
      </w:r>
      <w:r w:rsidRPr="00234C92">
        <w:rPr>
          <w:rFonts w:ascii="Times New Roman"/>
          <w:color w:val="000000" w:themeColor="text1"/>
        </w:rPr>
        <w:t>月</w:t>
      </w:r>
      <w:r w:rsidRPr="00234C92">
        <w:rPr>
          <w:rFonts w:ascii="Times New Roman"/>
          <w:color w:val="000000" w:themeColor="text1"/>
        </w:rPr>
        <w:t>20</w:t>
      </w:r>
      <w:r w:rsidRPr="00234C92">
        <w:rPr>
          <w:rFonts w:ascii="Times New Roman"/>
          <w:color w:val="000000" w:themeColor="text1"/>
        </w:rPr>
        <w:t>日內授警字第</w:t>
      </w:r>
      <w:r w:rsidRPr="00234C92">
        <w:rPr>
          <w:rFonts w:ascii="Times New Roman"/>
          <w:color w:val="000000" w:themeColor="text1"/>
        </w:rPr>
        <w:t>1060870202</w:t>
      </w:r>
      <w:r w:rsidRPr="00234C92">
        <w:rPr>
          <w:rFonts w:ascii="Times New Roman"/>
          <w:color w:val="000000" w:themeColor="text1"/>
        </w:rPr>
        <w:t>號函、教育部</w:t>
      </w:r>
      <w:r w:rsidRPr="00234C92">
        <w:rPr>
          <w:rFonts w:ascii="Times New Roman"/>
          <w:color w:val="000000" w:themeColor="text1"/>
        </w:rPr>
        <w:t>106</w:t>
      </w:r>
      <w:r w:rsidRPr="00234C92">
        <w:rPr>
          <w:rFonts w:ascii="Times New Roman"/>
          <w:color w:val="000000" w:themeColor="text1"/>
        </w:rPr>
        <w:t>年</w:t>
      </w:r>
      <w:r w:rsidRPr="00234C92">
        <w:rPr>
          <w:rFonts w:ascii="Times New Roman"/>
          <w:color w:val="000000" w:themeColor="text1"/>
        </w:rPr>
        <w:t>2</w:t>
      </w:r>
      <w:r w:rsidRPr="00234C92">
        <w:rPr>
          <w:rFonts w:ascii="Times New Roman"/>
          <w:color w:val="000000" w:themeColor="text1"/>
        </w:rPr>
        <w:t>月</w:t>
      </w:r>
      <w:r w:rsidRPr="00234C92">
        <w:rPr>
          <w:rFonts w:ascii="Times New Roman"/>
          <w:color w:val="000000" w:themeColor="text1"/>
        </w:rPr>
        <w:t>22</w:t>
      </w:r>
      <w:r w:rsidRPr="00234C92">
        <w:rPr>
          <w:rFonts w:ascii="Times New Roman"/>
          <w:color w:val="000000" w:themeColor="text1"/>
        </w:rPr>
        <w:t>日臺教授國字</w:t>
      </w:r>
      <w:r w:rsidRPr="00234C92">
        <w:rPr>
          <w:rFonts w:ascii="Times New Roman"/>
          <w:color w:val="000000" w:themeColor="text1"/>
        </w:rPr>
        <w:t>1060017317</w:t>
      </w:r>
      <w:r w:rsidRPr="00234C92">
        <w:rPr>
          <w:rFonts w:ascii="Times New Roman"/>
          <w:color w:val="000000" w:themeColor="text1"/>
        </w:rPr>
        <w:t>號函、衛福部</w:t>
      </w:r>
      <w:r w:rsidRPr="00234C92">
        <w:rPr>
          <w:rFonts w:ascii="Times New Roman"/>
          <w:color w:val="000000" w:themeColor="text1"/>
        </w:rPr>
        <w:t>106</w:t>
      </w:r>
      <w:r w:rsidRPr="00234C92">
        <w:rPr>
          <w:rFonts w:ascii="Times New Roman"/>
          <w:color w:val="000000" w:themeColor="text1"/>
        </w:rPr>
        <w:t>年</w:t>
      </w:r>
      <w:r w:rsidRPr="00234C92">
        <w:rPr>
          <w:rFonts w:ascii="Times New Roman"/>
          <w:color w:val="000000" w:themeColor="text1"/>
        </w:rPr>
        <w:t>3</w:t>
      </w:r>
      <w:r w:rsidRPr="00234C92">
        <w:rPr>
          <w:rFonts w:ascii="Times New Roman"/>
          <w:color w:val="000000" w:themeColor="text1"/>
        </w:rPr>
        <w:t>月</w:t>
      </w:r>
      <w:r w:rsidRPr="00234C92">
        <w:rPr>
          <w:rFonts w:ascii="Times New Roman"/>
          <w:color w:val="000000" w:themeColor="text1"/>
        </w:rPr>
        <w:t>17</w:t>
      </w:r>
      <w:r w:rsidRPr="00234C92">
        <w:rPr>
          <w:rFonts w:ascii="Times New Roman"/>
          <w:color w:val="000000" w:themeColor="text1"/>
        </w:rPr>
        <w:t>日衛授家字第</w:t>
      </w:r>
      <w:r w:rsidRPr="00234C92">
        <w:rPr>
          <w:rFonts w:ascii="Times New Roman"/>
          <w:color w:val="000000" w:themeColor="text1"/>
        </w:rPr>
        <w:t>1060900231</w:t>
      </w:r>
      <w:r w:rsidRPr="00234C92">
        <w:rPr>
          <w:rFonts w:ascii="Times New Roman"/>
          <w:color w:val="000000" w:themeColor="text1"/>
        </w:rPr>
        <w:t>號函。</w:t>
      </w:r>
    </w:p>
  </w:footnote>
  <w:footnote w:id="5">
    <w:p w:rsidR="007C65A5" w:rsidRPr="00234C92" w:rsidRDefault="007C65A5" w:rsidP="00FE446D">
      <w:pPr>
        <w:pStyle w:val="afa"/>
        <w:rPr>
          <w:rFonts w:ascii="Times New Roman"/>
        </w:rPr>
      </w:pPr>
      <w:r w:rsidRPr="00234C92">
        <w:rPr>
          <w:rStyle w:val="afc"/>
          <w:rFonts w:ascii="Times New Roman"/>
        </w:rPr>
        <w:footnoteRef/>
      </w:r>
      <w:r w:rsidRPr="00234C92">
        <w:rPr>
          <w:rFonts w:ascii="Times New Roman"/>
        </w:rPr>
        <w:t xml:space="preserve"> Health for the World’s Adolescents,WHO</w:t>
      </w:r>
      <w:r w:rsidRPr="00234C92">
        <w:rPr>
          <w:rFonts w:ascii="Times New Roman"/>
        </w:rPr>
        <w:t>。</w:t>
      </w:r>
    </w:p>
  </w:footnote>
  <w:footnote w:id="6">
    <w:p w:rsidR="007C65A5" w:rsidRPr="00234C92" w:rsidRDefault="007C65A5" w:rsidP="00FE446D">
      <w:pPr>
        <w:pStyle w:val="afa"/>
        <w:rPr>
          <w:rFonts w:ascii="Times New Roman"/>
        </w:rPr>
      </w:pPr>
      <w:r w:rsidRPr="00234C92">
        <w:rPr>
          <w:rStyle w:val="afc"/>
          <w:rFonts w:ascii="Times New Roman"/>
        </w:rPr>
        <w:footnoteRef/>
      </w:r>
      <w:r w:rsidRPr="00234C92">
        <w:rPr>
          <w:rFonts w:ascii="Times New Roman"/>
        </w:rPr>
        <w:t xml:space="preserve"> World Health Statistics 2015,WHO</w:t>
      </w:r>
      <w:r w:rsidRPr="00234C92">
        <w:rPr>
          <w:rFonts w:ascii="Times New Roman"/>
        </w:rPr>
        <w:t>。</w:t>
      </w:r>
    </w:p>
  </w:footnote>
  <w:footnote w:id="7">
    <w:p w:rsidR="007C65A5" w:rsidRPr="00C814A6" w:rsidRDefault="007C65A5" w:rsidP="00C814A6">
      <w:pPr>
        <w:pStyle w:val="afa"/>
        <w:jc w:val="both"/>
        <w:rPr>
          <w:rFonts w:ascii="Times New Roman"/>
        </w:rPr>
      </w:pPr>
      <w:r w:rsidRPr="00C814A6">
        <w:rPr>
          <w:rStyle w:val="afc"/>
          <w:rFonts w:ascii="Times New Roman"/>
          <w:color w:val="000000" w:themeColor="text1"/>
        </w:rPr>
        <w:footnoteRef/>
      </w:r>
      <w:r w:rsidRPr="00C814A6">
        <w:rPr>
          <w:rFonts w:ascii="Times New Roman"/>
          <w:color w:val="000000" w:themeColor="text1"/>
        </w:rPr>
        <w:t xml:space="preserve"> </w:t>
      </w:r>
      <w:r w:rsidRPr="00C814A6">
        <w:rPr>
          <w:rFonts w:ascii="Times New Roman"/>
          <w:color w:val="000000" w:themeColor="text1"/>
        </w:rPr>
        <w:t>據內政部戶政司人口統計資料顯示，我國</w:t>
      </w:r>
      <w:r w:rsidRPr="00C814A6">
        <w:rPr>
          <w:rFonts w:ascii="Times New Roman"/>
          <w:color w:val="000000" w:themeColor="text1"/>
        </w:rPr>
        <w:t>95</w:t>
      </w:r>
      <w:r w:rsidRPr="00C814A6">
        <w:rPr>
          <w:rFonts w:ascii="Times New Roman"/>
          <w:color w:val="000000" w:themeColor="text1"/>
        </w:rPr>
        <w:t>年至</w:t>
      </w:r>
      <w:r w:rsidRPr="00C814A6">
        <w:rPr>
          <w:rFonts w:ascii="Times New Roman"/>
          <w:color w:val="000000" w:themeColor="text1"/>
        </w:rPr>
        <w:t>104</w:t>
      </w:r>
      <w:r w:rsidRPr="00C814A6">
        <w:rPr>
          <w:rFonts w:ascii="Times New Roman"/>
          <w:color w:val="000000" w:themeColor="text1"/>
        </w:rPr>
        <w:t>年</w:t>
      </w:r>
      <w:r w:rsidRPr="00C814A6">
        <w:rPr>
          <w:rFonts w:ascii="Times New Roman"/>
          <w:color w:val="000000" w:themeColor="text1"/>
        </w:rPr>
        <w:t>15</w:t>
      </w:r>
      <w:r w:rsidRPr="00C814A6">
        <w:rPr>
          <w:rFonts w:ascii="Times New Roman"/>
          <w:color w:val="000000" w:themeColor="text1"/>
        </w:rPr>
        <w:t>歲至</w:t>
      </w:r>
      <w:r w:rsidRPr="00C814A6">
        <w:rPr>
          <w:rFonts w:ascii="Times New Roman"/>
          <w:color w:val="000000" w:themeColor="text1"/>
        </w:rPr>
        <w:t>19</w:t>
      </w:r>
      <w:r w:rsidRPr="00C814A6">
        <w:rPr>
          <w:rFonts w:ascii="Times New Roman"/>
          <w:color w:val="000000" w:themeColor="text1"/>
        </w:rPr>
        <w:t>歲女性人口總數均在</w:t>
      </w:r>
      <w:r w:rsidRPr="00C814A6">
        <w:rPr>
          <w:rFonts w:ascii="Times New Roman"/>
          <w:color w:val="000000" w:themeColor="text1"/>
        </w:rPr>
        <w:t>71</w:t>
      </w:r>
      <w:r w:rsidRPr="00C814A6">
        <w:rPr>
          <w:rFonts w:ascii="Times New Roman"/>
          <w:color w:val="000000" w:themeColor="text1"/>
        </w:rPr>
        <w:t>萬人以上，僅</w:t>
      </w:r>
      <w:r w:rsidRPr="00C814A6">
        <w:rPr>
          <w:rFonts w:ascii="Times New Roman"/>
          <w:color w:val="000000" w:themeColor="text1"/>
        </w:rPr>
        <w:t>105</w:t>
      </w:r>
      <w:r w:rsidRPr="00C814A6">
        <w:rPr>
          <w:rFonts w:ascii="Times New Roman"/>
          <w:color w:val="000000" w:themeColor="text1"/>
        </w:rPr>
        <w:t>年為</w:t>
      </w:r>
      <w:r w:rsidRPr="00C814A6">
        <w:rPr>
          <w:rFonts w:ascii="Times New Roman"/>
          <w:color w:val="000000" w:themeColor="text1"/>
        </w:rPr>
        <w:t>687,456</w:t>
      </w:r>
      <w:r w:rsidRPr="00C814A6">
        <w:rPr>
          <w:rFonts w:ascii="Times New Roman"/>
          <w:color w:val="000000" w:themeColor="text1"/>
        </w:rPr>
        <w:t>人。</w:t>
      </w:r>
    </w:p>
  </w:footnote>
  <w:footnote w:id="8">
    <w:p w:rsidR="007C65A5" w:rsidRPr="00234C92" w:rsidRDefault="007C65A5" w:rsidP="00FE446D">
      <w:pPr>
        <w:pStyle w:val="afa"/>
        <w:rPr>
          <w:rFonts w:ascii="Times New Roman"/>
        </w:rPr>
      </w:pPr>
      <w:r w:rsidRPr="00234C92">
        <w:rPr>
          <w:rStyle w:val="afc"/>
          <w:rFonts w:ascii="Times New Roman"/>
        </w:rPr>
        <w:footnoteRef/>
      </w:r>
      <w:r w:rsidRPr="00234C92">
        <w:rPr>
          <w:rFonts w:ascii="Times New Roman"/>
        </w:rPr>
        <w:t xml:space="preserve"> </w:t>
      </w:r>
      <w:r w:rsidRPr="00234C92">
        <w:rPr>
          <w:rFonts w:ascii="Times New Roman"/>
        </w:rPr>
        <w:t>教育部</w:t>
      </w:r>
      <w:r w:rsidRPr="00234C92">
        <w:rPr>
          <w:rFonts w:ascii="Times New Roman"/>
        </w:rPr>
        <w:t>106</w:t>
      </w:r>
      <w:r w:rsidRPr="00234C92">
        <w:rPr>
          <w:rFonts w:ascii="Times New Roman"/>
        </w:rPr>
        <w:t>年</w:t>
      </w:r>
      <w:r w:rsidRPr="00234C92">
        <w:rPr>
          <w:rFonts w:ascii="Times New Roman"/>
        </w:rPr>
        <w:t>2</w:t>
      </w:r>
      <w:r w:rsidRPr="00234C92">
        <w:rPr>
          <w:rFonts w:ascii="Times New Roman"/>
        </w:rPr>
        <w:t>月</w:t>
      </w:r>
      <w:r w:rsidRPr="00234C92">
        <w:rPr>
          <w:rFonts w:ascii="Times New Roman"/>
        </w:rPr>
        <w:t>22</w:t>
      </w:r>
      <w:r w:rsidRPr="00234C92">
        <w:rPr>
          <w:rFonts w:ascii="Times New Roman"/>
        </w:rPr>
        <w:t>日臺教授國字第</w:t>
      </w:r>
      <w:r w:rsidRPr="00234C92">
        <w:rPr>
          <w:rFonts w:ascii="Times New Roman"/>
        </w:rPr>
        <w:t>1060017317</w:t>
      </w:r>
      <w:r w:rsidRPr="00234C92">
        <w:rPr>
          <w:rFonts w:ascii="Times New Roman"/>
        </w:rPr>
        <w:t>號函。</w:t>
      </w:r>
    </w:p>
  </w:footnote>
  <w:footnote w:id="9">
    <w:p w:rsidR="007C65A5" w:rsidRPr="00890593" w:rsidRDefault="007C65A5" w:rsidP="00FE446D">
      <w:pPr>
        <w:pStyle w:val="afa"/>
      </w:pPr>
      <w:r w:rsidRPr="00234C92">
        <w:rPr>
          <w:rStyle w:val="afc"/>
          <w:rFonts w:ascii="Times New Roman"/>
        </w:rPr>
        <w:footnoteRef/>
      </w:r>
      <w:r w:rsidRPr="00234C92">
        <w:rPr>
          <w:rFonts w:ascii="Times New Roman"/>
        </w:rPr>
        <w:t xml:space="preserve"> </w:t>
      </w:r>
      <w:r w:rsidRPr="00234C92">
        <w:rPr>
          <w:rFonts w:ascii="Times New Roman"/>
        </w:rPr>
        <w:t>衛福部</w:t>
      </w:r>
      <w:r w:rsidRPr="00234C92">
        <w:rPr>
          <w:rFonts w:ascii="Times New Roman"/>
        </w:rPr>
        <w:t>106</w:t>
      </w:r>
      <w:r w:rsidRPr="00234C92">
        <w:rPr>
          <w:rFonts w:ascii="Times New Roman"/>
        </w:rPr>
        <w:t>年</w:t>
      </w:r>
      <w:r w:rsidRPr="00234C92">
        <w:rPr>
          <w:rFonts w:ascii="Times New Roman"/>
        </w:rPr>
        <w:t>4</w:t>
      </w:r>
      <w:r w:rsidRPr="00234C92">
        <w:rPr>
          <w:rFonts w:ascii="Times New Roman"/>
        </w:rPr>
        <w:t>月</w:t>
      </w:r>
      <w:r w:rsidRPr="00234C92">
        <w:rPr>
          <w:rFonts w:ascii="Times New Roman"/>
        </w:rPr>
        <w:t>11</w:t>
      </w:r>
      <w:r w:rsidRPr="00234C92">
        <w:rPr>
          <w:rFonts w:ascii="Times New Roman"/>
        </w:rPr>
        <w:t>日衛授國字第</w:t>
      </w:r>
      <w:r w:rsidRPr="00234C92">
        <w:rPr>
          <w:rFonts w:ascii="Times New Roman"/>
        </w:rPr>
        <w:t>1060400804</w:t>
      </w:r>
      <w:r w:rsidRPr="00234C92">
        <w:rPr>
          <w:rFonts w:ascii="Times New Roman"/>
        </w:rPr>
        <w:t>號函。</w:t>
      </w:r>
    </w:p>
  </w:footnote>
  <w:footnote w:id="10">
    <w:p w:rsidR="007C65A5" w:rsidRPr="00234C92" w:rsidRDefault="007C65A5" w:rsidP="004F6F7D">
      <w:pPr>
        <w:pStyle w:val="afa"/>
        <w:jc w:val="both"/>
        <w:rPr>
          <w:rFonts w:ascii="Times New Roman"/>
        </w:rPr>
      </w:pPr>
      <w:r w:rsidRPr="00234C92">
        <w:rPr>
          <w:rStyle w:val="afc"/>
          <w:rFonts w:ascii="Times New Roman"/>
        </w:rPr>
        <w:footnoteRef/>
      </w:r>
      <w:r w:rsidRPr="00234C92">
        <w:rPr>
          <w:rFonts w:ascii="Times New Roman"/>
        </w:rPr>
        <w:t xml:space="preserve">　</w:t>
      </w:r>
      <w:r w:rsidRPr="00234C92">
        <w:rPr>
          <w:rFonts w:ascii="Times New Roman"/>
        </w:rPr>
        <w:t>WHO</w:t>
      </w:r>
      <w:r w:rsidRPr="00234C92">
        <w:rPr>
          <w:rFonts w:ascii="Times New Roman"/>
        </w:rPr>
        <w:t>為提升青少年健康照顧服務品質，於</w:t>
      </w:r>
      <w:r w:rsidRPr="00234C92">
        <w:rPr>
          <w:rFonts w:ascii="Times New Roman"/>
        </w:rPr>
        <w:t>2015</w:t>
      </w:r>
      <w:r w:rsidRPr="00234C92">
        <w:rPr>
          <w:rFonts w:ascii="Times New Roman"/>
        </w:rPr>
        <w:t>年提出之全球標準：</w:t>
      </w:r>
      <w:r w:rsidRPr="00234C92">
        <w:rPr>
          <w:rFonts w:ascii="Times New Roman"/>
        </w:rPr>
        <w:t>1.</w:t>
      </w:r>
      <w:r w:rsidRPr="00234C92">
        <w:rPr>
          <w:rFonts w:ascii="Times New Roman"/>
        </w:rPr>
        <w:t>青少年的健康素養、</w:t>
      </w:r>
      <w:r w:rsidRPr="00234C92">
        <w:rPr>
          <w:rFonts w:ascii="Times New Roman"/>
        </w:rPr>
        <w:t>2.</w:t>
      </w:r>
      <w:r w:rsidRPr="00234C92">
        <w:rPr>
          <w:rFonts w:ascii="Times New Roman"/>
        </w:rPr>
        <w:t>社區支持、</w:t>
      </w:r>
      <w:r w:rsidRPr="00234C92">
        <w:rPr>
          <w:rFonts w:ascii="Times New Roman"/>
        </w:rPr>
        <w:t>3.</w:t>
      </w:r>
      <w:r w:rsidRPr="00234C92">
        <w:rPr>
          <w:rFonts w:ascii="Times New Roman"/>
        </w:rPr>
        <w:t>適當而周全的服務、</w:t>
      </w:r>
      <w:r w:rsidRPr="00234C92">
        <w:rPr>
          <w:rFonts w:ascii="Times New Roman"/>
        </w:rPr>
        <w:t>4.</w:t>
      </w:r>
      <w:r w:rsidRPr="00234C92">
        <w:rPr>
          <w:rFonts w:ascii="Times New Roman"/>
        </w:rPr>
        <w:t>健康照顧提供者的能力、</w:t>
      </w:r>
      <w:r w:rsidRPr="00234C92">
        <w:rPr>
          <w:rFonts w:ascii="Times New Roman"/>
        </w:rPr>
        <w:t>5.</w:t>
      </w:r>
      <w:r w:rsidRPr="00234C92">
        <w:rPr>
          <w:rFonts w:ascii="Times New Roman"/>
        </w:rPr>
        <w:t>醫療機構的特性、</w:t>
      </w:r>
      <w:r w:rsidRPr="00234C92">
        <w:rPr>
          <w:rFonts w:ascii="Times New Roman"/>
        </w:rPr>
        <w:t>6.</w:t>
      </w:r>
      <w:r w:rsidRPr="00234C92">
        <w:rPr>
          <w:rFonts w:ascii="Times New Roman"/>
        </w:rPr>
        <w:t>公平、不歧視、</w:t>
      </w:r>
      <w:r w:rsidRPr="00234C92">
        <w:rPr>
          <w:rFonts w:ascii="Times New Roman"/>
        </w:rPr>
        <w:t>7.</w:t>
      </w:r>
      <w:r w:rsidRPr="00234C92">
        <w:rPr>
          <w:rFonts w:ascii="Times New Roman"/>
        </w:rPr>
        <w:t>資料和品質的精進、</w:t>
      </w:r>
      <w:r w:rsidRPr="00234C92">
        <w:rPr>
          <w:rFonts w:ascii="Times New Roman"/>
        </w:rPr>
        <w:t>8.</w:t>
      </w:r>
      <w:r w:rsidRPr="00234C92">
        <w:rPr>
          <w:rFonts w:ascii="Times New Roman"/>
        </w:rPr>
        <w:t>青少年參與。</w:t>
      </w:r>
    </w:p>
  </w:footnote>
  <w:footnote w:id="11">
    <w:p w:rsidR="007C65A5" w:rsidRPr="00337100" w:rsidRDefault="007C65A5" w:rsidP="00DC3062">
      <w:pPr>
        <w:pStyle w:val="afa"/>
        <w:jc w:val="both"/>
        <w:rPr>
          <w:rFonts w:ascii="Times New Roman"/>
          <w:color w:val="000000" w:themeColor="text1"/>
        </w:rPr>
      </w:pPr>
      <w:r w:rsidRPr="00337100">
        <w:rPr>
          <w:rStyle w:val="afc"/>
          <w:rFonts w:ascii="Times New Roman"/>
          <w:color w:val="000000" w:themeColor="text1"/>
        </w:rPr>
        <w:footnoteRef/>
      </w:r>
      <w:r w:rsidRPr="00337100">
        <w:rPr>
          <w:rFonts w:ascii="Times New Roman"/>
          <w:color w:val="000000" w:themeColor="text1"/>
        </w:rPr>
        <w:t xml:space="preserve"> </w:t>
      </w:r>
      <w:r w:rsidRPr="00337100">
        <w:rPr>
          <w:rFonts w:ascii="Times New Roman"/>
          <w:color w:val="000000" w:themeColor="text1"/>
        </w:rPr>
        <w:t>原文：</w:t>
      </w:r>
      <w:r w:rsidRPr="00337100">
        <w:rPr>
          <w:rFonts w:ascii="Times New Roman"/>
          <w:color w:val="000000" w:themeColor="text1"/>
        </w:rPr>
        <w:t>”According to the World Health Organization, when minors, particularly girls, marry and have children, their health can be adversely affected and their education is impeded. As a result their economic autonomy is restricted.”</w:t>
      </w:r>
    </w:p>
  </w:footnote>
  <w:footnote w:id="12">
    <w:p w:rsidR="007C65A5" w:rsidRPr="00337100" w:rsidRDefault="007C65A5" w:rsidP="00D85387">
      <w:pPr>
        <w:pStyle w:val="afa"/>
        <w:wordWrap w:val="0"/>
        <w:jc w:val="both"/>
        <w:rPr>
          <w:rFonts w:ascii="Times New Roman"/>
          <w:color w:val="000000" w:themeColor="text1"/>
        </w:rPr>
      </w:pPr>
      <w:r w:rsidRPr="00337100">
        <w:rPr>
          <w:rStyle w:val="afc"/>
          <w:rFonts w:ascii="Times New Roman"/>
          <w:color w:val="000000" w:themeColor="text1"/>
        </w:rPr>
        <w:footnoteRef/>
      </w:r>
      <w:r w:rsidRPr="00337100">
        <w:rPr>
          <w:rFonts w:ascii="Times New Roman"/>
          <w:color w:val="000000" w:themeColor="text1"/>
        </w:rPr>
        <w:t xml:space="preserve"> </w:t>
      </w:r>
      <w:r w:rsidRPr="00337100">
        <w:rPr>
          <w:rFonts w:ascii="Times New Roman"/>
          <w:color w:val="000000" w:themeColor="text1"/>
        </w:rPr>
        <w:t>原文：</w:t>
      </w:r>
      <w:r w:rsidRPr="00337100">
        <w:rPr>
          <w:rFonts w:ascii="Times New Roman"/>
          <w:color w:val="000000" w:themeColor="text1"/>
        </w:rPr>
        <w:t>”This not only affects women personally but also limits the development of their skills and independence and reduces access to employment, thereby detrimentally</w:t>
      </w:r>
    </w:p>
    <w:p w:rsidR="007C65A5" w:rsidRPr="00337100" w:rsidRDefault="007C65A5" w:rsidP="00D85387">
      <w:pPr>
        <w:pStyle w:val="afa"/>
        <w:wordWrap w:val="0"/>
        <w:jc w:val="both"/>
        <w:rPr>
          <w:rFonts w:ascii="Times New Roman"/>
          <w:color w:val="000000" w:themeColor="text1"/>
        </w:rPr>
      </w:pPr>
      <w:r w:rsidRPr="00337100">
        <w:rPr>
          <w:rFonts w:ascii="Times New Roman"/>
          <w:color w:val="000000" w:themeColor="text1"/>
        </w:rPr>
        <w:t>affecting their families and communities.”</w:t>
      </w:r>
    </w:p>
  </w:footnote>
  <w:footnote w:id="13">
    <w:p w:rsidR="007C65A5" w:rsidRPr="00337100" w:rsidRDefault="007C65A5" w:rsidP="00DC3062">
      <w:pPr>
        <w:pStyle w:val="afa"/>
        <w:jc w:val="both"/>
        <w:rPr>
          <w:rFonts w:ascii="Times New Roman"/>
          <w:color w:val="000000" w:themeColor="text1"/>
        </w:rPr>
      </w:pPr>
      <w:r w:rsidRPr="00337100">
        <w:rPr>
          <w:rStyle w:val="afc"/>
          <w:rFonts w:ascii="Times New Roman"/>
          <w:color w:val="000000" w:themeColor="text1"/>
        </w:rPr>
        <w:footnoteRef/>
      </w:r>
      <w:r w:rsidRPr="00337100">
        <w:rPr>
          <w:rFonts w:ascii="Times New Roman"/>
          <w:color w:val="000000" w:themeColor="text1"/>
        </w:rPr>
        <w:t xml:space="preserve"> </w:t>
      </w:r>
      <w:r w:rsidRPr="00337100">
        <w:rPr>
          <w:rFonts w:ascii="Times New Roman"/>
          <w:color w:val="000000" w:themeColor="text1"/>
        </w:rPr>
        <w:t>原文：</w:t>
      </w:r>
      <w:r w:rsidRPr="00337100">
        <w:rPr>
          <w:rFonts w:ascii="Times New Roman"/>
          <w:color w:val="000000" w:themeColor="text1"/>
        </w:rPr>
        <w:t>”The completion of primary and secondary education provides girls with short-term and long-term benefits by contributing to the prevention of child marriage and adolescent pregnancy and lower rates of infant and ma</w:t>
      </w:r>
      <w:r>
        <w:rPr>
          <w:rFonts w:ascii="Times New Roman"/>
          <w:color w:val="000000" w:themeColor="text1"/>
        </w:rPr>
        <w:t>ternal mortality and morbidity…</w:t>
      </w:r>
      <w:r w:rsidRPr="00337100">
        <w:rPr>
          <w:rFonts w:ascii="Times New Roman"/>
          <w:color w:val="000000" w:themeColor="text1"/>
        </w:rPr>
        <w:t>”</w:t>
      </w:r>
    </w:p>
  </w:footnote>
  <w:footnote w:id="14">
    <w:p w:rsidR="007C65A5" w:rsidRDefault="007C65A5" w:rsidP="00DC3062">
      <w:pPr>
        <w:pStyle w:val="afa"/>
        <w:jc w:val="both"/>
      </w:pPr>
      <w:r w:rsidRPr="00337100">
        <w:rPr>
          <w:rStyle w:val="afc"/>
          <w:rFonts w:ascii="Times New Roman"/>
          <w:color w:val="000000" w:themeColor="text1"/>
        </w:rPr>
        <w:footnoteRef/>
      </w:r>
      <w:r w:rsidRPr="00337100">
        <w:rPr>
          <w:rFonts w:ascii="Times New Roman"/>
          <w:color w:val="000000" w:themeColor="text1"/>
        </w:rPr>
        <w:t xml:space="preserve"> </w:t>
      </w:r>
      <w:r w:rsidRPr="00337100">
        <w:rPr>
          <w:rFonts w:ascii="Times New Roman"/>
          <w:color w:val="000000" w:themeColor="text1"/>
        </w:rPr>
        <w:t>原文：</w:t>
      </w:r>
      <w:r>
        <w:rPr>
          <w:rFonts w:ascii="Times New Roman"/>
          <w:color w:val="000000" w:themeColor="text1"/>
        </w:rPr>
        <w:t>”…</w:t>
      </w:r>
      <w:r w:rsidRPr="00337100">
        <w:rPr>
          <w:rFonts w:ascii="Times New Roman"/>
          <w:color w:val="000000" w:themeColor="text1"/>
        </w:rPr>
        <w:t>The right of adolescent girls to continue their studies, during and after pregnancy, can be guaranteed through non-discriminatory return policies.”</w:t>
      </w:r>
    </w:p>
  </w:footnote>
  <w:footnote w:id="15">
    <w:p w:rsidR="007C65A5" w:rsidRDefault="007C65A5">
      <w:pPr>
        <w:pStyle w:val="afa"/>
      </w:pPr>
      <w:r w:rsidRPr="00337100">
        <w:rPr>
          <w:rStyle w:val="afc"/>
          <w:color w:val="000000" w:themeColor="text1"/>
        </w:rPr>
        <w:footnoteRef/>
      </w:r>
      <w:r w:rsidRPr="00337100">
        <w:rPr>
          <w:rFonts w:hint="eastAsia"/>
          <w:color w:val="000000" w:themeColor="text1"/>
        </w:rPr>
        <w:t xml:space="preserve"> 衛福部社家署106年6月30日電子郵件說明資料。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5B5D40"/>
    <w:multiLevelType w:val="hybridMultilevel"/>
    <w:tmpl w:val="6E2CF15A"/>
    <w:lvl w:ilvl="0" w:tplc="010804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D36462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532" w:hanging="681"/>
      </w:pPr>
      <w:rPr>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547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4678" w:hanging="85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5693"/>
        </w:tabs>
        <w:ind w:left="4948" w:hanging="695"/>
      </w:pPr>
      <w:rPr>
        <w:rFonts w:ascii="標楷體" w:eastAsia="標楷體" w:hint="eastAsia"/>
        <w:b w:val="0"/>
        <w:i w:val="0"/>
        <w:sz w:val="32"/>
      </w:rPr>
    </w:lvl>
    <w:lvl w:ilvl="1" w:tplc="04090019" w:tentative="1">
      <w:start w:val="1"/>
      <w:numFmt w:val="ideographTraditional"/>
      <w:lvlText w:val="%2、"/>
      <w:lvlJc w:val="left"/>
      <w:pPr>
        <w:tabs>
          <w:tab w:val="num" w:pos="5213"/>
        </w:tabs>
        <w:ind w:left="5213" w:hanging="480"/>
      </w:pPr>
    </w:lvl>
    <w:lvl w:ilvl="2" w:tplc="0409001B" w:tentative="1">
      <w:start w:val="1"/>
      <w:numFmt w:val="lowerRoman"/>
      <w:lvlText w:val="%3."/>
      <w:lvlJc w:val="right"/>
      <w:pPr>
        <w:tabs>
          <w:tab w:val="num" w:pos="5693"/>
        </w:tabs>
        <w:ind w:left="5693" w:hanging="480"/>
      </w:pPr>
    </w:lvl>
    <w:lvl w:ilvl="3" w:tplc="0409000F" w:tentative="1">
      <w:start w:val="1"/>
      <w:numFmt w:val="decimal"/>
      <w:lvlText w:val="%4."/>
      <w:lvlJc w:val="left"/>
      <w:pPr>
        <w:tabs>
          <w:tab w:val="num" w:pos="6173"/>
        </w:tabs>
        <w:ind w:left="6173" w:hanging="480"/>
      </w:pPr>
    </w:lvl>
    <w:lvl w:ilvl="4" w:tplc="04090019" w:tentative="1">
      <w:start w:val="1"/>
      <w:numFmt w:val="ideographTraditional"/>
      <w:lvlText w:val="%5、"/>
      <w:lvlJc w:val="left"/>
      <w:pPr>
        <w:tabs>
          <w:tab w:val="num" w:pos="6653"/>
        </w:tabs>
        <w:ind w:left="6653" w:hanging="480"/>
      </w:pPr>
    </w:lvl>
    <w:lvl w:ilvl="5" w:tplc="0409001B" w:tentative="1">
      <w:start w:val="1"/>
      <w:numFmt w:val="lowerRoman"/>
      <w:lvlText w:val="%6."/>
      <w:lvlJc w:val="right"/>
      <w:pPr>
        <w:tabs>
          <w:tab w:val="num" w:pos="7133"/>
        </w:tabs>
        <w:ind w:left="7133" w:hanging="480"/>
      </w:pPr>
    </w:lvl>
    <w:lvl w:ilvl="6" w:tplc="0409000F" w:tentative="1">
      <w:start w:val="1"/>
      <w:numFmt w:val="decimal"/>
      <w:lvlText w:val="%7."/>
      <w:lvlJc w:val="left"/>
      <w:pPr>
        <w:tabs>
          <w:tab w:val="num" w:pos="7613"/>
        </w:tabs>
        <w:ind w:left="7613" w:hanging="480"/>
      </w:pPr>
    </w:lvl>
    <w:lvl w:ilvl="7" w:tplc="04090019" w:tentative="1">
      <w:start w:val="1"/>
      <w:numFmt w:val="ideographTraditional"/>
      <w:lvlText w:val="%8、"/>
      <w:lvlJc w:val="left"/>
      <w:pPr>
        <w:tabs>
          <w:tab w:val="num" w:pos="8093"/>
        </w:tabs>
        <w:ind w:left="8093" w:hanging="480"/>
      </w:pPr>
    </w:lvl>
    <w:lvl w:ilvl="8" w:tplc="0409001B" w:tentative="1">
      <w:start w:val="1"/>
      <w:numFmt w:val="lowerRoman"/>
      <w:lvlText w:val="%9."/>
      <w:lvlJc w:val="right"/>
      <w:pPr>
        <w:tabs>
          <w:tab w:val="num" w:pos="8573"/>
        </w:tabs>
        <w:ind w:left="8573" w:hanging="480"/>
      </w:pPr>
    </w:lvl>
  </w:abstractNum>
  <w:abstractNum w:abstractNumId="4" w15:restartNumberingAfterBreak="0">
    <w:nsid w:val="22C212DE"/>
    <w:multiLevelType w:val="hybridMultilevel"/>
    <w:tmpl w:val="E4680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86F853E2"/>
    <w:lvl w:ilvl="0" w:tplc="808871A6">
      <w:start w:val="1"/>
      <w:numFmt w:val="decimal"/>
      <w:pStyle w:val="a1"/>
      <w:lvlText w:val="圖%1　"/>
      <w:lvlJc w:val="left"/>
      <w:pPr>
        <w:ind w:left="480" w:hanging="480"/>
      </w:pPr>
      <w:rPr>
        <w:rFonts w:ascii="標楷體" w:eastAsia="標楷體" w:hint="eastAsia"/>
        <w:b w:val="0"/>
        <w:i w:val="0"/>
        <w:color w:val="000000" w:themeColor="text1"/>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08E456C0"/>
    <w:lvl w:ilvl="0" w:tplc="9656E3CC">
      <w:start w:val="1"/>
      <w:numFmt w:val="decimal"/>
      <w:pStyle w:val="a3"/>
      <w:lvlText w:val="表%1　"/>
      <w:lvlJc w:val="left"/>
      <w:pPr>
        <w:ind w:left="2464"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8" w15:restartNumberingAfterBreak="0">
    <w:nsid w:val="513E736D"/>
    <w:multiLevelType w:val="hybridMultilevel"/>
    <w:tmpl w:val="B862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E762BA"/>
    <w:multiLevelType w:val="hybridMultilevel"/>
    <w:tmpl w:val="B862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9"/>
  </w:num>
  <w:num w:numId="6">
    <w:abstractNumId w:val="2"/>
  </w:num>
  <w:num w:numId="7">
    <w:abstractNumId w:val="10"/>
  </w:num>
  <w:num w:numId="8">
    <w:abstractNumId w:val="6"/>
  </w:num>
  <w:num w:numId="9">
    <w:abstractNumId w:val="4"/>
  </w:num>
  <w:num w:numId="10">
    <w:abstractNumId w:val="8"/>
  </w:num>
  <w:num w:numId="11">
    <w:abstractNumId w:val="11"/>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8A"/>
    <w:rsid w:val="00002667"/>
    <w:rsid w:val="00004FA7"/>
    <w:rsid w:val="00006961"/>
    <w:rsid w:val="000110B0"/>
    <w:rsid w:val="000112BF"/>
    <w:rsid w:val="00012233"/>
    <w:rsid w:val="00012DAD"/>
    <w:rsid w:val="000136D9"/>
    <w:rsid w:val="00013A60"/>
    <w:rsid w:val="0001564F"/>
    <w:rsid w:val="0001603F"/>
    <w:rsid w:val="00017318"/>
    <w:rsid w:val="00017477"/>
    <w:rsid w:val="00020491"/>
    <w:rsid w:val="000246F7"/>
    <w:rsid w:val="000248D2"/>
    <w:rsid w:val="000258D7"/>
    <w:rsid w:val="00025C08"/>
    <w:rsid w:val="00026459"/>
    <w:rsid w:val="0003114D"/>
    <w:rsid w:val="000350A4"/>
    <w:rsid w:val="00035529"/>
    <w:rsid w:val="00036B5B"/>
    <w:rsid w:val="00036D76"/>
    <w:rsid w:val="000412A5"/>
    <w:rsid w:val="000452FD"/>
    <w:rsid w:val="000475AC"/>
    <w:rsid w:val="00051A4C"/>
    <w:rsid w:val="00055D7F"/>
    <w:rsid w:val="00057F32"/>
    <w:rsid w:val="0006041A"/>
    <w:rsid w:val="00062A25"/>
    <w:rsid w:val="000659E3"/>
    <w:rsid w:val="00065B20"/>
    <w:rsid w:val="00065CCA"/>
    <w:rsid w:val="000663E2"/>
    <w:rsid w:val="0007344D"/>
    <w:rsid w:val="00073CB5"/>
    <w:rsid w:val="0007425C"/>
    <w:rsid w:val="00077553"/>
    <w:rsid w:val="00081CB5"/>
    <w:rsid w:val="00082C3C"/>
    <w:rsid w:val="000837A1"/>
    <w:rsid w:val="000851A2"/>
    <w:rsid w:val="00085F87"/>
    <w:rsid w:val="00087248"/>
    <w:rsid w:val="00090D63"/>
    <w:rsid w:val="00092E75"/>
    <w:rsid w:val="00093008"/>
    <w:rsid w:val="0009352E"/>
    <w:rsid w:val="00096B96"/>
    <w:rsid w:val="00097FFD"/>
    <w:rsid w:val="000A2B78"/>
    <w:rsid w:val="000A2F3F"/>
    <w:rsid w:val="000A7D09"/>
    <w:rsid w:val="000A7FF9"/>
    <w:rsid w:val="000B0B4A"/>
    <w:rsid w:val="000B1A05"/>
    <w:rsid w:val="000B2504"/>
    <w:rsid w:val="000B279A"/>
    <w:rsid w:val="000B2C30"/>
    <w:rsid w:val="000B40F1"/>
    <w:rsid w:val="000B5B53"/>
    <w:rsid w:val="000B61D2"/>
    <w:rsid w:val="000B70A7"/>
    <w:rsid w:val="000B73DD"/>
    <w:rsid w:val="000C1C33"/>
    <w:rsid w:val="000C1E6F"/>
    <w:rsid w:val="000C495F"/>
    <w:rsid w:val="000D1886"/>
    <w:rsid w:val="000D34D5"/>
    <w:rsid w:val="000D62B4"/>
    <w:rsid w:val="000D6CD5"/>
    <w:rsid w:val="000E2CFD"/>
    <w:rsid w:val="000E4D92"/>
    <w:rsid w:val="000E5324"/>
    <w:rsid w:val="000E6431"/>
    <w:rsid w:val="000E70A9"/>
    <w:rsid w:val="000E7111"/>
    <w:rsid w:val="000F01C2"/>
    <w:rsid w:val="000F035A"/>
    <w:rsid w:val="000F21A5"/>
    <w:rsid w:val="000F6A55"/>
    <w:rsid w:val="001029A3"/>
    <w:rsid w:val="00102B9F"/>
    <w:rsid w:val="001064EF"/>
    <w:rsid w:val="00106E73"/>
    <w:rsid w:val="0011048B"/>
    <w:rsid w:val="00110F16"/>
    <w:rsid w:val="001123E1"/>
    <w:rsid w:val="00112637"/>
    <w:rsid w:val="00112ABC"/>
    <w:rsid w:val="00117085"/>
    <w:rsid w:val="0012001E"/>
    <w:rsid w:val="00123791"/>
    <w:rsid w:val="0012655A"/>
    <w:rsid w:val="00126845"/>
    <w:rsid w:val="00126A1F"/>
    <w:rsid w:val="00126A55"/>
    <w:rsid w:val="0013091A"/>
    <w:rsid w:val="001328DD"/>
    <w:rsid w:val="00133F08"/>
    <w:rsid w:val="001345E6"/>
    <w:rsid w:val="001378B0"/>
    <w:rsid w:val="00140762"/>
    <w:rsid w:val="001412EE"/>
    <w:rsid w:val="001423AC"/>
    <w:rsid w:val="00142E00"/>
    <w:rsid w:val="001459BE"/>
    <w:rsid w:val="00146990"/>
    <w:rsid w:val="00150FB5"/>
    <w:rsid w:val="00151B8F"/>
    <w:rsid w:val="00152793"/>
    <w:rsid w:val="00153B7E"/>
    <w:rsid w:val="001545A9"/>
    <w:rsid w:val="00160A75"/>
    <w:rsid w:val="00163411"/>
    <w:rsid w:val="001637C7"/>
    <w:rsid w:val="0016480E"/>
    <w:rsid w:val="00167866"/>
    <w:rsid w:val="00174297"/>
    <w:rsid w:val="00176BC0"/>
    <w:rsid w:val="00177DA6"/>
    <w:rsid w:val="00180E06"/>
    <w:rsid w:val="00180E15"/>
    <w:rsid w:val="001817B3"/>
    <w:rsid w:val="00181FD2"/>
    <w:rsid w:val="00182306"/>
    <w:rsid w:val="00183014"/>
    <w:rsid w:val="00184603"/>
    <w:rsid w:val="001848FF"/>
    <w:rsid w:val="00187B47"/>
    <w:rsid w:val="00190E2A"/>
    <w:rsid w:val="001959C2"/>
    <w:rsid w:val="00197315"/>
    <w:rsid w:val="001A1A20"/>
    <w:rsid w:val="001A267E"/>
    <w:rsid w:val="001A4DE0"/>
    <w:rsid w:val="001A51E3"/>
    <w:rsid w:val="001A6B10"/>
    <w:rsid w:val="001A6E21"/>
    <w:rsid w:val="001A78D7"/>
    <w:rsid w:val="001A7968"/>
    <w:rsid w:val="001B075F"/>
    <w:rsid w:val="001B0FFD"/>
    <w:rsid w:val="001B2E98"/>
    <w:rsid w:val="001B3483"/>
    <w:rsid w:val="001B3C1E"/>
    <w:rsid w:val="001B4494"/>
    <w:rsid w:val="001B4A2B"/>
    <w:rsid w:val="001B62BE"/>
    <w:rsid w:val="001C07F6"/>
    <w:rsid w:val="001C0D8B"/>
    <w:rsid w:val="001C0DA8"/>
    <w:rsid w:val="001C15B1"/>
    <w:rsid w:val="001C38F6"/>
    <w:rsid w:val="001C54B3"/>
    <w:rsid w:val="001D25CB"/>
    <w:rsid w:val="001D3CDC"/>
    <w:rsid w:val="001D46EE"/>
    <w:rsid w:val="001D4AD7"/>
    <w:rsid w:val="001E0169"/>
    <w:rsid w:val="001E0D8A"/>
    <w:rsid w:val="001E615C"/>
    <w:rsid w:val="001E67BA"/>
    <w:rsid w:val="001E74C2"/>
    <w:rsid w:val="001E78D0"/>
    <w:rsid w:val="001F0D1C"/>
    <w:rsid w:val="001F2AEB"/>
    <w:rsid w:val="001F325A"/>
    <w:rsid w:val="001F4062"/>
    <w:rsid w:val="001F4F82"/>
    <w:rsid w:val="001F5A48"/>
    <w:rsid w:val="001F5F2B"/>
    <w:rsid w:val="001F6260"/>
    <w:rsid w:val="001F6E81"/>
    <w:rsid w:val="00200007"/>
    <w:rsid w:val="00200173"/>
    <w:rsid w:val="00200CBC"/>
    <w:rsid w:val="00202666"/>
    <w:rsid w:val="002030A5"/>
    <w:rsid w:val="00203131"/>
    <w:rsid w:val="00206013"/>
    <w:rsid w:val="00207569"/>
    <w:rsid w:val="00210E00"/>
    <w:rsid w:val="00212046"/>
    <w:rsid w:val="00212E88"/>
    <w:rsid w:val="00213C9C"/>
    <w:rsid w:val="00213E3C"/>
    <w:rsid w:val="00214646"/>
    <w:rsid w:val="0022009E"/>
    <w:rsid w:val="00223241"/>
    <w:rsid w:val="00223BB2"/>
    <w:rsid w:val="0022425C"/>
    <w:rsid w:val="002246DE"/>
    <w:rsid w:val="00224828"/>
    <w:rsid w:val="0022516E"/>
    <w:rsid w:val="00225AF5"/>
    <w:rsid w:val="002260C5"/>
    <w:rsid w:val="00226EE3"/>
    <w:rsid w:val="00232C45"/>
    <w:rsid w:val="00233D19"/>
    <w:rsid w:val="00234C92"/>
    <w:rsid w:val="00236E7E"/>
    <w:rsid w:val="00237AB7"/>
    <w:rsid w:val="00237B7C"/>
    <w:rsid w:val="00240AE8"/>
    <w:rsid w:val="002436FC"/>
    <w:rsid w:val="00250DC7"/>
    <w:rsid w:val="00252BC4"/>
    <w:rsid w:val="00254014"/>
    <w:rsid w:val="00254B39"/>
    <w:rsid w:val="00255C53"/>
    <w:rsid w:val="00256D91"/>
    <w:rsid w:val="00261657"/>
    <w:rsid w:val="00261B1E"/>
    <w:rsid w:val="0026504D"/>
    <w:rsid w:val="002652B3"/>
    <w:rsid w:val="00265C98"/>
    <w:rsid w:val="002725D0"/>
    <w:rsid w:val="00273A2F"/>
    <w:rsid w:val="00273A3E"/>
    <w:rsid w:val="002749EA"/>
    <w:rsid w:val="002765C2"/>
    <w:rsid w:val="00277F1C"/>
    <w:rsid w:val="00280986"/>
    <w:rsid w:val="002811EA"/>
    <w:rsid w:val="0028127B"/>
    <w:rsid w:val="00281ECE"/>
    <w:rsid w:val="00282B76"/>
    <w:rsid w:val="002831C7"/>
    <w:rsid w:val="002840C6"/>
    <w:rsid w:val="00295174"/>
    <w:rsid w:val="00295472"/>
    <w:rsid w:val="002959C7"/>
    <w:rsid w:val="00296119"/>
    <w:rsid w:val="00296172"/>
    <w:rsid w:val="00296B92"/>
    <w:rsid w:val="00297F1D"/>
    <w:rsid w:val="002A13B8"/>
    <w:rsid w:val="002A2C22"/>
    <w:rsid w:val="002A6F39"/>
    <w:rsid w:val="002A76B8"/>
    <w:rsid w:val="002A7A12"/>
    <w:rsid w:val="002B0298"/>
    <w:rsid w:val="002B02EB"/>
    <w:rsid w:val="002B252E"/>
    <w:rsid w:val="002B25E8"/>
    <w:rsid w:val="002B3E43"/>
    <w:rsid w:val="002B42AA"/>
    <w:rsid w:val="002C0602"/>
    <w:rsid w:val="002C0EC3"/>
    <w:rsid w:val="002C6B0A"/>
    <w:rsid w:val="002C7D0F"/>
    <w:rsid w:val="002D08C7"/>
    <w:rsid w:val="002D11F8"/>
    <w:rsid w:val="002D3E62"/>
    <w:rsid w:val="002D559F"/>
    <w:rsid w:val="002D5C16"/>
    <w:rsid w:val="002D5C2B"/>
    <w:rsid w:val="002E372F"/>
    <w:rsid w:val="002E4B1D"/>
    <w:rsid w:val="002E57CD"/>
    <w:rsid w:val="002E620E"/>
    <w:rsid w:val="002E63C4"/>
    <w:rsid w:val="002F074C"/>
    <w:rsid w:val="002F2476"/>
    <w:rsid w:val="002F2FCB"/>
    <w:rsid w:val="002F3DFF"/>
    <w:rsid w:val="002F59F6"/>
    <w:rsid w:val="002F5E05"/>
    <w:rsid w:val="0030205B"/>
    <w:rsid w:val="00303182"/>
    <w:rsid w:val="00304EBB"/>
    <w:rsid w:val="00305615"/>
    <w:rsid w:val="00306504"/>
    <w:rsid w:val="00307A76"/>
    <w:rsid w:val="00311293"/>
    <w:rsid w:val="003116B1"/>
    <w:rsid w:val="00315A16"/>
    <w:rsid w:val="00317053"/>
    <w:rsid w:val="003179BC"/>
    <w:rsid w:val="0032109C"/>
    <w:rsid w:val="00321F23"/>
    <w:rsid w:val="00322B45"/>
    <w:rsid w:val="00323809"/>
    <w:rsid w:val="00323C63"/>
    <w:rsid w:val="00323D41"/>
    <w:rsid w:val="00325414"/>
    <w:rsid w:val="00325A36"/>
    <w:rsid w:val="00327B66"/>
    <w:rsid w:val="003302F1"/>
    <w:rsid w:val="003343A6"/>
    <w:rsid w:val="00335B26"/>
    <w:rsid w:val="00337100"/>
    <w:rsid w:val="003372C4"/>
    <w:rsid w:val="00341D16"/>
    <w:rsid w:val="0034470E"/>
    <w:rsid w:val="003453B9"/>
    <w:rsid w:val="003468FE"/>
    <w:rsid w:val="00351BEF"/>
    <w:rsid w:val="003523FA"/>
    <w:rsid w:val="00352DB0"/>
    <w:rsid w:val="00353544"/>
    <w:rsid w:val="003548CA"/>
    <w:rsid w:val="003566E5"/>
    <w:rsid w:val="00361063"/>
    <w:rsid w:val="003612FA"/>
    <w:rsid w:val="0036526F"/>
    <w:rsid w:val="00365812"/>
    <w:rsid w:val="003659F8"/>
    <w:rsid w:val="0037094A"/>
    <w:rsid w:val="00371ED3"/>
    <w:rsid w:val="00371FA2"/>
    <w:rsid w:val="00372F11"/>
    <w:rsid w:val="00372FFC"/>
    <w:rsid w:val="003738B0"/>
    <w:rsid w:val="00374EB7"/>
    <w:rsid w:val="0037728A"/>
    <w:rsid w:val="003801DD"/>
    <w:rsid w:val="00380B7D"/>
    <w:rsid w:val="00381A99"/>
    <w:rsid w:val="003829C2"/>
    <w:rsid w:val="003830B2"/>
    <w:rsid w:val="00384724"/>
    <w:rsid w:val="003848AE"/>
    <w:rsid w:val="00385F26"/>
    <w:rsid w:val="003905B3"/>
    <w:rsid w:val="003919B7"/>
    <w:rsid w:val="003919ED"/>
    <w:rsid w:val="00391D57"/>
    <w:rsid w:val="00392292"/>
    <w:rsid w:val="00394062"/>
    <w:rsid w:val="0039546D"/>
    <w:rsid w:val="0039575C"/>
    <w:rsid w:val="00396563"/>
    <w:rsid w:val="003979BB"/>
    <w:rsid w:val="003A555B"/>
    <w:rsid w:val="003A5927"/>
    <w:rsid w:val="003A67EF"/>
    <w:rsid w:val="003A79A5"/>
    <w:rsid w:val="003B1017"/>
    <w:rsid w:val="003B189E"/>
    <w:rsid w:val="003B1BE5"/>
    <w:rsid w:val="003B3119"/>
    <w:rsid w:val="003B3C07"/>
    <w:rsid w:val="003B3D34"/>
    <w:rsid w:val="003B4262"/>
    <w:rsid w:val="003B6081"/>
    <w:rsid w:val="003B6775"/>
    <w:rsid w:val="003B6E2D"/>
    <w:rsid w:val="003C2C3A"/>
    <w:rsid w:val="003C5FE2"/>
    <w:rsid w:val="003D05FB"/>
    <w:rsid w:val="003D1A8C"/>
    <w:rsid w:val="003D1B16"/>
    <w:rsid w:val="003D45BF"/>
    <w:rsid w:val="003D508A"/>
    <w:rsid w:val="003D537F"/>
    <w:rsid w:val="003D598B"/>
    <w:rsid w:val="003D6077"/>
    <w:rsid w:val="003D7B75"/>
    <w:rsid w:val="003E0208"/>
    <w:rsid w:val="003E0BCE"/>
    <w:rsid w:val="003E1DE2"/>
    <w:rsid w:val="003E4B57"/>
    <w:rsid w:val="003E6339"/>
    <w:rsid w:val="003E6B1B"/>
    <w:rsid w:val="003E7682"/>
    <w:rsid w:val="003F0A3A"/>
    <w:rsid w:val="003F0D63"/>
    <w:rsid w:val="003F27E1"/>
    <w:rsid w:val="003F2F8F"/>
    <w:rsid w:val="003F370C"/>
    <w:rsid w:val="003F437A"/>
    <w:rsid w:val="003F5C2B"/>
    <w:rsid w:val="003F7200"/>
    <w:rsid w:val="0040015F"/>
    <w:rsid w:val="004019ED"/>
    <w:rsid w:val="00402240"/>
    <w:rsid w:val="004023E9"/>
    <w:rsid w:val="004038C5"/>
    <w:rsid w:val="0040393B"/>
    <w:rsid w:val="0040454A"/>
    <w:rsid w:val="00404C84"/>
    <w:rsid w:val="00404EC3"/>
    <w:rsid w:val="00405CA9"/>
    <w:rsid w:val="00406B81"/>
    <w:rsid w:val="00406D76"/>
    <w:rsid w:val="00407D0F"/>
    <w:rsid w:val="004108C0"/>
    <w:rsid w:val="00410C6A"/>
    <w:rsid w:val="004125E7"/>
    <w:rsid w:val="00413F83"/>
    <w:rsid w:val="0041490C"/>
    <w:rsid w:val="00416191"/>
    <w:rsid w:val="00416721"/>
    <w:rsid w:val="00421D5A"/>
    <w:rsid w:val="00421EF0"/>
    <w:rsid w:val="00422371"/>
    <w:rsid w:val="004224FA"/>
    <w:rsid w:val="00423D07"/>
    <w:rsid w:val="00426312"/>
    <w:rsid w:val="0042721F"/>
    <w:rsid w:val="00427936"/>
    <w:rsid w:val="00432D2C"/>
    <w:rsid w:val="004433E1"/>
    <w:rsid w:val="0044346F"/>
    <w:rsid w:val="00445375"/>
    <w:rsid w:val="00445ACD"/>
    <w:rsid w:val="00447B12"/>
    <w:rsid w:val="0045104F"/>
    <w:rsid w:val="004512BA"/>
    <w:rsid w:val="00457DBA"/>
    <w:rsid w:val="004603A9"/>
    <w:rsid w:val="0046290F"/>
    <w:rsid w:val="004631F3"/>
    <w:rsid w:val="0046520A"/>
    <w:rsid w:val="00466CD9"/>
    <w:rsid w:val="004672AB"/>
    <w:rsid w:val="004676F9"/>
    <w:rsid w:val="00467AA0"/>
    <w:rsid w:val="00470F50"/>
    <w:rsid w:val="004714FE"/>
    <w:rsid w:val="00472C81"/>
    <w:rsid w:val="0047461E"/>
    <w:rsid w:val="00475FA2"/>
    <w:rsid w:val="00476AD2"/>
    <w:rsid w:val="00476D18"/>
    <w:rsid w:val="00477BAA"/>
    <w:rsid w:val="00483F80"/>
    <w:rsid w:val="00485BB4"/>
    <w:rsid w:val="00487548"/>
    <w:rsid w:val="004875F2"/>
    <w:rsid w:val="00495053"/>
    <w:rsid w:val="00497140"/>
    <w:rsid w:val="004A1F59"/>
    <w:rsid w:val="004A240E"/>
    <w:rsid w:val="004A29BE"/>
    <w:rsid w:val="004A3225"/>
    <w:rsid w:val="004A33EE"/>
    <w:rsid w:val="004A3AA8"/>
    <w:rsid w:val="004A3DCD"/>
    <w:rsid w:val="004A4724"/>
    <w:rsid w:val="004A5419"/>
    <w:rsid w:val="004A766C"/>
    <w:rsid w:val="004B13C7"/>
    <w:rsid w:val="004B1462"/>
    <w:rsid w:val="004B32F6"/>
    <w:rsid w:val="004B39EE"/>
    <w:rsid w:val="004B3B5B"/>
    <w:rsid w:val="004B778F"/>
    <w:rsid w:val="004C0609"/>
    <w:rsid w:val="004C1769"/>
    <w:rsid w:val="004C37FE"/>
    <w:rsid w:val="004C3D00"/>
    <w:rsid w:val="004C78E2"/>
    <w:rsid w:val="004D141F"/>
    <w:rsid w:val="004D1C64"/>
    <w:rsid w:val="004D2742"/>
    <w:rsid w:val="004D2F8C"/>
    <w:rsid w:val="004D57DB"/>
    <w:rsid w:val="004D6310"/>
    <w:rsid w:val="004D6549"/>
    <w:rsid w:val="004E0062"/>
    <w:rsid w:val="004E05A1"/>
    <w:rsid w:val="004E2553"/>
    <w:rsid w:val="004E43B1"/>
    <w:rsid w:val="004E7EF3"/>
    <w:rsid w:val="004F02C3"/>
    <w:rsid w:val="004F1174"/>
    <w:rsid w:val="004F1B4C"/>
    <w:rsid w:val="004F39B7"/>
    <w:rsid w:val="004F5E57"/>
    <w:rsid w:val="004F6645"/>
    <w:rsid w:val="004F6710"/>
    <w:rsid w:val="004F6F7D"/>
    <w:rsid w:val="004F73D4"/>
    <w:rsid w:val="00500915"/>
    <w:rsid w:val="00500C3E"/>
    <w:rsid w:val="00502849"/>
    <w:rsid w:val="005032A7"/>
    <w:rsid w:val="00504334"/>
    <w:rsid w:val="005046C5"/>
    <w:rsid w:val="0050498D"/>
    <w:rsid w:val="00505B24"/>
    <w:rsid w:val="00506C35"/>
    <w:rsid w:val="005078F8"/>
    <w:rsid w:val="00510337"/>
    <w:rsid w:val="005103E0"/>
    <w:rsid w:val="005104D7"/>
    <w:rsid w:val="00510B9E"/>
    <w:rsid w:val="00510C6D"/>
    <w:rsid w:val="00511C3A"/>
    <w:rsid w:val="00511CF3"/>
    <w:rsid w:val="00517147"/>
    <w:rsid w:val="0052171D"/>
    <w:rsid w:val="00523493"/>
    <w:rsid w:val="0053179E"/>
    <w:rsid w:val="00535FA4"/>
    <w:rsid w:val="00536BC2"/>
    <w:rsid w:val="00537C5E"/>
    <w:rsid w:val="00540724"/>
    <w:rsid w:val="005418D9"/>
    <w:rsid w:val="005425E1"/>
    <w:rsid w:val="005427C5"/>
    <w:rsid w:val="00542CF6"/>
    <w:rsid w:val="0054447F"/>
    <w:rsid w:val="00545E46"/>
    <w:rsid w:val="005505EA"/>
    <w:rsid w:val="00551E31"/>
    <w:rsid w:val="00553C03"/>
    <w:rsid w:val="00554206"/>
    <w:rsid w:val="005544E0"/>
    <w:rsid w:val="00555656"/>
    <w:rsid w:val="005569B3"/>
    <w:rsid w:val="005577E7"/>
    <w:rsid w:val="00557E6C"/>
    <w:rsid w:val="0056167D"/>
    <w:rsid w:val="00562FF1"/>
    <w:rsid w:val="00563692"/>
    <w:rsid w:val="00570835"/>
    <w:rsid w:val="00571679"/>
    <w:rsid w:val="005730E4"/>
    <w:rsid w:val="00573567"/>
    <w:rsid w:val="00577244"/>
    <w:rsid w:val="00577587"/>
    <w:rsid w:val="00580814"/>
    <w:rsid w:val="005819DA"/>
    <w:rsid w:val="00582B91"/>
    <w:rsid w:val="005844E7"/>
    <w:rsid w:val="0058494C"/>
    <w:rsid w:val="00587B5C"/>
    <w:rsid w:val="005908B8"/>
    <w:rsid w:val="00590DFC"/>
    <w:rsid w:val="00591F1E"/>
    <w:rsid w:val="00591F64"/>
    <w:rsid w:val="00593C13"/>
    <w:rsid w:val="00594F32"/>
    <w:rsid w:val="0059512E"/>
    <w:rsid w:val="005964C0"/>
    <w:rsid w:val="005A1D54"/>
    <w:rsid w:val="005A22A6"/>
    <w:rsid w:val="005A429A"/>
    <w:rsid w:val="005A5ADF"/>
    <w:rsid w:val="005A6DD2"/>
    <w:rsid w:val="005A76AD"/>
    <w:rsid w:val="005B0208"/>
    <w:rsid w:val="005B25CF"/>
    <w:rsid w:val="005B40E0"/>
    <w:rsid w:val="005B413F"/>
    <w:rsid w:val="005B5301"/>
    <w:rsid w:val="005C1D8D"/>
    <w:rsid w:val="005C201A"/>
    <w:rsid w:val="005C238D"/>
    <w:rsid w:val="005C385D"/>
    <w:rsid w:val="005C6F9B"/>
    <w:rsid w:val="005C74A4"/>
    <w:rsid w:val="005D021D"/>
    <w:rsid w:val="005D0264"/>
    <w:rsid w:val="005D157E"/>
    <w:rsid w:val="005D3B20"/>
    <w:rsid w:val="005D4382"/>
    <w:rsid w:val="005D45B7"/>
    <w:rsid w:val="005D4C63"/>
    <w:rsid w:val="005E0A41"/>
    <w:rsid w:val="005E0D88"/>
    <w:rsid w:val="005E14B1"/>
    <w:rsid w:val="005E3DE8"/>
    <w:rsid w:val="005E4759"/>
    <w:rsid w:val="005E4FA0"/>
    <w:rsid w:val="005E557B"/>
    <w:rsid w:val="005E5C68"/>
    <w:rsid w:val="005E65C0"/>
    <w:rsid w:val="005F0390"/>
    <w:rsid w:val="0060465C"/>
    <w:rsid w:val="006070F7"/>
    <w:rsid w:val="006072CD"/>
    <w:rsid w:val="00612023"/>
    <w:rsid w:val="00614190"/>
    <w:rsid w:val="006149A2"/>
    <w:rsid w:val="006167BB"/>
    <w:rsid w:val="00622A99"/>
    <w:rsid w:val="00622E67"/>
    <w:rsid w:val="00625A97"/>
    <w:rsid w:val="00626336"/>
    <w:rsid w:val="00626EDC"/>
    <w:rsid w:val="006313CF"/>
    <w:rsid w:val="0063344F"/>
    <w:rsid w:val="00636C35"/>
    <w:rsid w:val="006403EB"/>
    <w:rsid w:val="00640B57"/>
    <w:rsid w:val="006423B0"/>
    <w:rsid w:val="0064281F"/>
    <w:rsid w:val="00644B89"/>
    <w:rsid w:val="00644D4A"/>
    <w:rsid w:val="0064516B"/>
    <w:rsid w:val="00646B76"/>
    <w:rsid w:val="006470EC"/>
    <w:rsid w:val="006542D6"/>
    <w:rsid w:val="0065472B"/>
    <w:rsid w:val="0065598E"/>
    <w:rsid w:val="00655AF2"/>
    <w:rsid w:val="00655BC5"/>
    <w:rsid w:val="00655DF7"/>
    <w:rsid w:val="006568BE"/>
    <w:rsid w:val="0066025D"/>
    <w:rsid w:val="0066091A"/>
    <w:rsid w:val="006653F7"/>
    <w:rsid w:val="00670D3B"/>
    <w:rsid w:val="00673D69"/>
    <w:rsid w:val="0067737B"/>
    <w:rsid w:val="006773EC"/>
    <w:rsid w:val="00677D5C"/>
    <w:rsid w:val="00680504"/>
    <w:rsid w:val="00681CD9"/>
    <w:rsid w:val="00682560"/>
    <w:rsid w:val="00683806"/>
    <w:rsid w:val="00683E30"/>
    <w:rsid w:val="00684EE6"/>
    <w:rsid w:val="00687024"/>
    <w:rsid w:val="006922B6"/>
    <w:rsid w:val="006927E4"/>
    <w:rsid w:val="00695E22"/>
    <w:rsid w:val="00697C6B"/>
    <w:rsid w:val="006A3F0D"/>
    <w:rsid w:val="006A526B"/>
    <w:rsid w:val="006A5C41"/>
    <w:rsid w:val="006A68A9"/>
    <w:rsid w:val="006A7C5F"/>
    <w:rsid w:val="006A7F41"/>
    <w:rsid w:val="006B013C"/>
    <w:rsid w:val="006B362E"/>
    <w:rsid w:val="006B36DA"/>
    <w:rsid w:val="006B41FC"/>
    <w:rsid w:val="006B6531"/>
    <w:rsid w:val="006B6D43"/>
    <w:rsid w:val="006B7093"/>
    <w:rsid w:val="006B7417"/>
    <w:rsid w:val="006C0E7F"/>
    <w:rsid w:val="006C2407"/>
    <w:rsid w:val="006C3851"/>
    <w:rsid w:val="006C51E5"/>
    <w:rsid w:val="006C6014"/>
    <w:rsid w:val="006C764C"/>
    <w:rsid w:val="006D01D8"/>
    <w:rsid w:val="006D0712"/>
    <w:rsid w:val="006D199E"/>
    <w:rsid w:val="006D19EA"/>
    <w:rsid w:val="006D1CE8"/>
    <w:rsid w:val="006D3691"/>
    <w:rsid w:val="006D3D30"/>
    <w:rsid w:val="006D3DD8"/>
    <w:rsid w:val="006D49A4"/>
    <w:rsid w:val="006D52A4"/>
    <w:rsid w:val="006D5C38"/>
    <w:rsid w:val="006D666A"/>
    <w:rsid w:val="006D76C1"/>
    <w:rsid w:val="006E3AC9"/>
    <w:rsid w:val="006E5EF0"/>
    <w:rsid w:val="006E65AF"/>
    <w:rsid w:val="006E7763"/>
    <w:rsid w:val="006F3563"/>
    <w:rsid w:val="006F42B9"/>
    <w:rsid w:val="006F4807"/>
    <w:rsid w:val="006F554D"/>
    <w:rsid w:val="006F6103"/>
    <w:rsid w:val="006F63D2"/>
    <w:rsid w:val="007020BF"/>
    <w:rsid w:val="00704E00"/>
    <w:rsid w:val="00705544"/>
    <w:rsid w:val="0070559C"/>
    <w:rsid w:val="00705B95"/>
    <w:rsid w:val="00706AA3"/>
    <w:rsid w:val="0071354C"/>
    <w:rsid w:val="007209E7"/>
    <w:rsid w:val="00720EED"/>
    <w:rsid w:val="0072135E"/>
    <w:rsid w:val="00722B9C"/>
    <w:rsid w:val="00725F23"/>
    <w:rsid w:val="00726182"/>
    <w:rsid w:val="00727635"/>
    <w:rsid w:val="00732329"/>
    <w:rsid w:val="007337CA"/>
    <w:rsid w:val="007349A0"/>
    <w:rsid w:val="00734CE4"/>
    <w:rsid w:val="00735123"/>
    <w:rsid w:val="0073749D"/>
    <w:rsid w:val="00740238"/>
    <w:rsid w:val="00741028"/>
    <w:rsid w:val="007412DF"/>
    <w:rsid w:val="007414D4"/>
    <w:rsid w:val="00741837"/>
    <w:rsid w:val="007453E6"/>
    <w:rsid w:val="00745740"/>
    <w:rsid w:val="00747A2C"/>
    <w:rsid w:val="007507A6"/>
    <w:rsid w:val="00752CE0"/>
    <w:rsid w:val="007571C9"/>
    <w:rsid w:val="0076049F"/>
    <w:rsid w:val="00760D4F"/>
    <w:rsid w:val="00764B73"/>
    <w:rsid w:val="007657B4"/>
    <w:rsid w:val="0076657B"/>
    <w:rsid w:val="00766E48"/>
    <w:rsid w:val="007711D4"/>
    <w:rsid w:val="007717B3"/>
    <w:rsid w:val="00772E13"/>
    <w:rsid w:val="0077309D"/>
    <w:rsid w:val="007731D5"/>
    <w:rsid w:val="00774853"/>
    <w:rsid w:val="00774AB3"/>
    <w:rsid w:val="00775794"/>
    <w:rsid w:val="007774EE"/>
    <w:rsid w:val="00777A23"/>
    <w:rsid w:val="00781822"/>
    <w:rsid w:val="007819FC"/>
    <w:rsid w:val="0078262E"/>
    <w:rsid w:val="007835E1"/>
    <w:rsid w:val="00783F21"/>
    <w:rsid w:val="007846A2"/>
    <w:rsid w:val="00784A36"/>
    <w:rsid w:val="00787159"/>
    <w:rsid w:val="00787645"/>
    <w:rsid w:val="0079043A"/>
    <w:rsid w:val="00791360"/>
    <w:rsid w:val="00791668"/>
    <w:rsid w:val="00791AA1"/>
    <w:rsid w:val="0079533A"/>
    <w:rsid w:val="007A2DF9"/>
    <w:rsid w:val="007A32C7"/>
    <w:rsid w:val="007A3793"/>
    <w:rsid w:val="007A4A2C"/>
    <w:rsid w:val="007A5968"/>
    <w:rsid w:val="007A7473"/>
    <w:rsid w:val="007B246B"/>
    <w:rsid w:val="007B2D86"/>
    <w:rsid w:val="007B3EC3"/>
    <w:rsid w:val="007B43C7"/>
    <w:rsid w:val="007B537A"/>
    <w:rsid w:val="007C07A8"/>
    <w:rsid w:val="007C1BA2"/>
    <w:rsid w:val="007C24E7"/>
    <w:rsid w:val="007C2B48"/>
    <w:rsid w:val="007C2C03"/>
    <w:rsid w:val="007C3C92"/>
    <w:rsid w:val="007C40C8"/>
    <w:rsid w:val="007C65A5"/>
    <w:rsid w:val="007D187D"/>
    <w:rsid w:val="007D20E9"/>
    <w:rsid w:val="007D54F2"/>
    <w:rsid w:val="007D7881"/>
    <w:rsid w:val="007D79F2"/>
    <w:rsid w:val="007D7E3A"/>
    <w:rsid w:val="007E0E10"/>
    <w:rsid w:val="007E4768"/>
    <w:rsid w:val="007E5F41"/>
    <w:rsid w:val="007E777B"/>
    <w:rsid w:val="007F162A"/>
    <w:rsid w:val="007F2070"/>
    <w:rsid w:val="007F2CCD"/>
    <w:rsid w:val="007F569A"/>
    <w:rsid w:val="00803240"/>
    <w:rsid w:val="0080414D"/>
    <w:rsid w:val="008053F5"/>
    <w:rsid w:val="008054CE"/>
    <w:rsid w:val="00807AF7"/>
    <w:rsid w:val="00810198"/>
    <w:rsid w:val="00811306"/>
    <w:rsid w:val="00811D19"/>
    <w:rsid w:val="00813570"/>
    <w:rsid w:val="00814A1F"/>
    <w:rsid w:val="00815DA8"/>
    <w:rsid w:val="0082024A"/>
    <w:rsid w:val="0082194D"/>
    <w:rsid w:val="008221F9"/>
    <w:rsid w:val="00823B04"/>
    <w:rsid w:val="00826EF5"/>
    <w:rsid w:val="00830DBE"/>
    <w:rsid w:val="00830FD1"/>
    <w:rsid w:val="00831693"/>
    <w:rsid w:val="00833CD5"/>
    <w:rsid w:val="00834B38"/>
    <w:rsid w:val="00840104"/>
    <w:rsid w:val="00840C1F"/>
    <w:rsid w:val="00841581"/>
    <w:rsid w:val="00841B83"/>
    <w:rsid w:val="00841FC5"/>
    <w:rsid w:val="00844191"/>
    <w:rsid w:val="00845709"/>
    <w:rsid w:val="00845A8F"/>
    <w:rsid w:val="00845DF9"/>
    <w:rsid w:val="0084689C"/>
    <w:rsid w:val="008473B2"/>
    <w:rsid w:val="0085113F"/>
    <w:rsid w:val="00852CD0"/>
    <w:rsid w:val="008552FF"/>
    <w:rsid w:val="00855635"/>
    <w:rsid w:val="008576BD"/>
    <w:rsid w:val="00860463"/>
    <w:rsid w:val="008604D8"/>
    <w:rsid w:val="00865D08"/>
    <w:rsid w:val="0086789F"/>
    <w:rsid w:val="008708BE"/>
    <w:rsid w:val="00872B88"/>
    <w:rsid w:val="008733DA"/>
    <w:rsid w:val="00877EEF"/>
    <w:rsid w:val="008805C1"/>
    <w:rsid w:val="008850E4"/>
    <w:rsid w:val="0088650D"/>
    <w:rsid w:val="0088674C"/>
    <w:rsid w:val="00890593"/>
    <w:rsid w:val="00891FCD"/>
    <w:rsid w:val="008939AB"/>
    <w:rsid w:val="008A12F5"/>
    <w:rsid w:val="008A433A"/>
    <w:rsid w:val="008A6811"/>
    <w:rsid w:val="008B120E"/>
    <w:rsid w:val="008B1587"/>
    <w:rsid w:val="008B1B01"/>
    <w:rsid w:val="008B3BCD"/>
    <w:rsid w:val="008B488B"/>
    <w:rsid w:val="008B6DF8"/>
    <w:rsid w:val="008C094F"/>
    <w:rsid w:val="008C106C"/>
    <w:rsid w:val="008C10F1"/>
    <w:rsid w:val="008C1926"/>
    <w:rsid w:val="008C1E99"/>
    <w:rsid w:val="008C583C"/>
    <w:rsid w:val="008C676C"/>
    <w:rsid w:val="008D0496"/>
    <w:rsid w:val="008D6C2E"/>
    <w:rsid w:val="008E0085"/>
    <w:rsid w:val="008E1359"/>
    <w:rsid w:val="008E2AA6"/>
    <w:rsid w:val="008E3001"/>
    <w:rsid w:val="008E311B"/>
    <w:rsid w:val="008E4D85"/>
    <w:rsid w:val="008E51BE"/>
    <w:rsid w:val="008E6BF5"/>
    <w:rsid w:val="008F144E"/>
    <w:rsid w:val="008F46E7"/>
    <w:rsid w:val="008F6F0B"/>
    <w:rsid w:val="008F6FA2"/>
    <w:rsid w:val="009013B5"/>
    <w:rsid w:val="00901BB3"/>
    <w:rsid w:val="00902560"/>
    <w:rsid w:val="00904EA8"/>
    <w:rsid w:val="00906B1B"/>
    <w:rsid w:val="00907BA7"/>
    <w:rsid w:val="0091064E"/>
    <w:rsid w:val="009117EE"/>
    <w:rsid w:val="009118C1"/>
    <w:rsid w:val="00911FC5"/>
    <w:rsid w:val="00912084"/>
    <w:rsid w:val="00912F82"/>
    <w:rsid w:val="009167E3"/>
    <w:rsid w:val="00924186"/>
    <w:rsid w:val="0093005A"/>
    <w:rsid w:val="00931399"/>
    <w:rsid w:val="00931A10"/>
    <w:rsid w:val="00934639"/>
    <w:rsid w:val="00935A58"/>
    <w:rsid w:val="00940867"/>
    <w:rsid w:val="009422F4"/>
    <w:rsid w:val="00947967"/>
    <w:rsid w:val="00954728"/>
    <w:rsid w:val="00955201"/>
    <w:rsid w:val="00956EFB"/>
    <w:rsid w:val="00961413"/>
    <w:rsid w:val="009623BC"/>
    <w:rsid w:val="00965200"/>
    <w:rsid w:val="00965BD6"/>
    <w:rsid w:val="009668B3"/>
    <w:rsid w:val="00966C7A"/>
    <w:rsid w:val="00970235"/>
    <w:rsid w:val="00971471"/>
    <w:rsid w:val="0097201F"/>
    <w:rsid w:val="00974848"/>
    <w:rsid w:val="00975D0C"/>
    <w:rsid w:val="00976C54"/>
    <w:rsid w:val="00977452"/>
    <w:rsid w:val="009806E3"/>
    <w:rsid w:val="00982B5A"/>
    <w:rsid w:val="009849C2"/>
    <w:rsid w:val="00984D24"/>
    <w:rsid w:val="0098549E"/>
    <w:rsid w:val="009858EB"/>
    <w:rsid w:val="0099223C"/>
    <w:rsid w:val="00993529"/>
    <w:rsid w:val="0099646C"/>
    <w:rsid w:val="009A2C12"/>
    <w:rsid w:val="009A2DC0"/>
    <w:rsid w:val="009A3278"/>
    <w:rsid w:val="009A3F47"/>
    <w:rsid w:val="009A6BEC"/>
    <w:rsid w:val="009A7150"/>
    <w:rsid w:val="009B0046"/>
    <w:rsid w:val="009B043C"/>
    <w:rsid w:val="009B4D05"/>
    <w:rsid w:val="009B7E3D"/>
    <w:rsid w:val="009C1440"/>
    <w:rsid w:val="009C1477"/>
    <w:rsid w:val="009C2107"/>
    <w:rsid w:val="009C2FE2"/>
    <w:rsid w:val="009C4AB3"/>
    <w:rsid w:val="009C534D"/>
    <w:rsid w:val="009C5A80"/>
    <w:rsid w:val="009C5D9E"/>
    <w:rsid w:val="009C6970"/>
    <w:rsid w:val="009D126F"/>
    <w:rsid w:val="009D2C3E"/>
    <w:rsid w:val="009D2FF0"/>
    <w:rsid w:val="009D627C"/>
    <w:rsid w:val="009E0625"/>
    <w:rsid w:val="009E0F86"/>
    <w:rsid w:val="009E26A8"/>
    <w:rsid w:val="009E294C"/>
    <w:rsid w:val="009E3034"/>
    <w:rsid w:val="009E33E7"/>
    <w:rsid w:val="009E4810"/>
    <w:rsid w:val="009E549F"/>
    <w:rsid w:val="009E616C"/>
    <w:rsid w:val="009E78B7"/>
    <w:rsid w:val="009F15AD"/>
    <w:rsid w:val="009F28A8"/>
    <w:rsid w:val="009F473E"/>
    <w:rsid w:val="009F64D2"/>
    <w:rsid w:val="009F682A"/>
    <w:rsid w:val="009F68EB"/>
    <w:rsid w:val="009F6C08"/>
    <w:rsid w:val="00A01EAA"/>
    <w:rsid w:val="00A022BE"/>
    <w:rsid w:val="00A02446"/>
    <w:rsid w:val="00A050CD"/>
    <w:rsid w:val="00A07B4B"/>
    <w:rsid w:val="00A1106E"/>
    <w:rsid w:val="00A11269"/>
    <w:rsid w:val="00A14330"/>
    <w:rsid w:val="00A145EC"/>
    <w:rsid w:val="00A15228"/>
    <w:rsid w:val="00A15FA9"/>
    <w:rsid w:val="00A174A4"/>
    <w:rsid w:val="00A24C95"/>
    <w:rsid w:val="00A2599A"/>
    <w:rsid w:val="00A2604B"/>
    <w:rsid w:val="00A26094"/>
    <w:rsid w:val="00A275F6"/>
    <w:rsid w:val="00A301BF"/>
    <w:rsid w:val="00A302B2"/>
    <w:rsid w:val="00A306A5"/>
    <w:rsid w:val="00A3288B"/>
    <w:rsid w:val="00A331B4"/>
    <w:rsid w:val="00A3484E"/>
    <w:rsid w:val="00A356D3"/>
    <w:rsid w:val="00A35EB5"/>
    <w:rsid w:val="00A36ADA"/>
    <w:rsid w:val="00A4239A"/>
    <w:rsid w:val="00A438D8"/>
    <w:rsid w:val="00A46EFA"/>
    <w:rsid w:val="00A473F5"/>
    <w:rsid w:val="00A51E90"/>
    <w:rsid w:val="00A51F9D"/>
    <w:rsid w:val="00A5279D"/>
    <w:rsid w:val="00A5416A"/>
    <w:rsid w:val="00A630B3"/>
    <w:rsid w:val="00A63348"/>
    <w:rsid w:val="00A639F4"/>
    <w:rsid w:val="00A6502E"/>
    <w:rsid w:val="00A67922"/>
    <w:rsid w:val="00A7028C"/>
    <w:rsid w:val="00A71479"/>
    <w:rsid w:val="00A71D20"/>
    <w:rsid w:val="00A724EA"/>
    <w:rsid w:val="00A7328F"/>
    <w:rsid w:val="00A75797"/>
    <w:rsid w:val="00A77DE1"/>
    <w:rsid w:val="00A81A32"/>
    <w:rsid w:val="00A835BD"/>
    <w:rsid w:val="00A90D60"/>
    <w:rsid w:val="00A9186F"/>
    <w:rsid w:val="00A971CF"/>
    <w:rsid w:val="00A97B15"/>
    <w:rsid w:val="00AA0497"/>
    <w:rsid w:val="00AA2258"/>
    <w:rsid w:val="00AA29F7"/>
    <w:rsid w:val="00AA42D5"/>
    <w:rsid w:val="00AA493F"/>
    <w:rsid w:val="00AA5897"/>
    <w:rsid w:val="00AB23E0"/>
    <w:rsid w:val="00AB2EC4"/>
    <w:rsid w:val="00AB2FAB"/>
    <w:rsid w:val="00AB5C14"/>
    <w:rsid w:val="00AB63D8"/>
    <w:rsid w:val="00AB6C2F"/>
    <w:rsid w:val="00AB6FBE"/>
    <w:rsid w:val="00AC00D5"/>
    <w:rsid w:val="00AC1EE7"/>
    <w:rsid w:val="00AC26B4"/>
    <w:rsid w:val="00AC333F"/>
    <w:rsid w:val="00AC34D3"/>
    <w:rsid w:val="00AC585C"/>
    <w:rsid w:val="00AD1925"/>
    <w:rsid w:val="00AD279B"/>
    <w:rsid w:val="00AD3A49"/>
    <w:rsid w:val="00AD4482"/>
    <w:rsid w:val="00AD60AB"/>
    <w:rsid w:val="00AE067D"/>
    <w:rsid w:val="00AE170E"/>
    <w:rsid w:val="00AE1A86"/>
    <w:rsid w:val="00AE212C"/>
    <w:rsid w:val="00AE21F8"/>
    <w:rsid w:val="00AE3A48"/>
    <w:rsid w:val="00AE45AB"/>
    <w:rsid w:val="00AF1181"/>
    <w:rsid w:val="00AF1417"/>
    <w:rsid w:val="00AF218E"/>
    <w:rsid w:val="00AF2F79"/>
    <w:rsid w:val="00AF4653"/>
    <w:rsid w:val="00AF4F02"/>
    <w:rsid w:val="00AF7DB7"/>
    <w:rsid w:val="00B017D6"/>
    <w:rsid w:val="00B04351"/>
    <w:rsid w:val="00B06DB8"/>
    <w:rsid w:val="00B1055F"/>
    <w:rsid w:val="00B10D02"/>
    <w:rsid w:val="00B1165E"/>
    <w:rsid w:val="00B1236D"/>
    <w:rsid w:val="00B15DCD"/>
    <w:rsid w:val="00B201E2"/>
    <w:rsid w:val="00B2052F"/>
    <w:rsid w:val="00B206A5"/>
    <w:rsid w:val="00B2340F"/>
    <w:rsid w:val="00B26FE2"/>
    <w:rsid w:val="00B308B4"/>
    <w:rsid w:val="00B3446B"/>
    <w:rsid w:val="00B366CD"/>
    <w:rsid w:val="00B37658"/>
    <w:rsid w:val="00B401D9"/>
    <w:rsid w:val="00B41167"/>
    <w:rsid w:val="00B42B53"/>
    <w:rsid w:val="00B443E4"/>
    <w:rsid w:val="00B44599"/>
    <w:rsid w:val="00B44954"/>
    <w:rsid w:val="00B5068F"/>
    <w:rsid w:val="00B5341C"/>
    <w:rsid w:val="00B547A0"/>
    <w:rsid w:val="00B5484D"/>
    <w:rsid w:val="00B563EA"/>
    <w:rsid w:val="00B56CDF"/>
    <w:rsid w:val="00B60578"/>
    <w:rsid w:val="00B60E51"/>
    <w:rsid w:val="00B626EF"/>
    <w:rsid w:val="00B63A54"/>
    <w:rsid w:val="00B63E4D"/>
    <w:rsid w:val="00B648FB"/>
    <w:rsid w:val="00B67512"/>
    <w:rsid w:val="00B70D8D"/>
    <w:rsid w:val="00B74AF5"/>
    <w:rsid w:val="00B76BA4"/>
    <w:rsid w:val="00B77B00"/>
    <w:rsid w:val="00B77D18"/>
    <w:rsid w:val="00B8313A"/>
    <w:rsid w:val="00B833A1"/>
    <w:rsid w:val="00B9081C"/>
    <w:rsid w:val="00B90BC8"/>
    <w:rsid w:val="00B93503"/>
    <w:rsid w:val="00B970EF"/>
    <w:rsid w:val="00BA0CB6"/>
    <w:rsid w:val="00BA1276"/>
    <w:rsid w:val="00BA31E8"/>
    <w:rsid w:val="00BA55E0"/>
    <w:rsid w:val="00BA6BD4"/>
    <w:rsid w:val="00BA6C7A"/>
    <w:rsid w:val="00BA7126"/>
    <w:rsid w:val="00BB17D1"/>
    <w:rsid w:val="00BB2E4F"/>
    <w:rsid w:val="00BB3256"/>
    <w:rsid w:val="00BB3752"/>
    <w:rsid w:val="00BB556F"/>
    <w:rsid w:val="00BB6688"/>
    <w:rsid w:val="00BC21B0"/>
    <w:rsid w:val="00BC26D4"/>
    <w:rsid w:val="00BC33BA"/>
    <w:rsid w:val="00BC4519"/>
    <w:rsid w:val="00BC7E0F"/>
    <w:rsid w:val="00BD0B0F"/>
    <w:rsid w:val="00BD7F2B"/>
    <w:rsid w:val="00BE014A"/>
    <w:rsid w:val="00BE0C80"/>
    <w:rsid w:val="00BE2D6E"/>
    <w:rsid w:val="00BE4DDF"/>
    <w:rsid w:val="00BE68AA"/>
    <w:rsid w:val="00BF1A76"/>
    <w:rsid w:val="00BF1CA7"/>
    <w:rsid w:val="00BF2A42"/>
    <w:rsid w:val="00BF6784"/>
    <w:rsid w:val="00C03D8C"/>
    <w:rsid w:val="00C04CEA"/>
    <w:rsid w:val="00C055EC"/>
    <w:rsid w:val="00C05ABD"/>
    <w:rsid w:val="00C05FAE"/>
    <w:rsid w:val="00C066AF"/>
    <w:rsid w:val="00C10DC9"/>
    <w:rsid w:val="00C10E12"/>
    <w:rsid w:val="00C12FB3"/>
    <w:rsid w:val="00C133A8"/>
    <w:rsid w:val="00C14A90"/>
    <w:rsid w:val="00C17341"/>
    <w:rsid w:val="00C179D7"/>
    <w:rsid w:val="00C214A7"/>
    <w:rsid w:val="00C23274"/>
    <w:rsid w:val="00C2493C"/>
    <w:rsid w:val="00C249AF"/>
    <w:rsid w:val="00C24EEF"/>
    <w:rsid w:val="00C25CF6"/>
    <w:rsid w:val="00C26C36"/>
    <w:rsid w:val="00C3180D"/>
    <w:rsid w:val="00C32768"/>
    <w:rsid w:val="00C34624"/>
    <w:rsid w:val="00C37A10"/>
    <w:rsid w:val="00C431DF"/>
    <w:rsid w:val="00C4546B"/>
    <w:rsid w:val="00C45693"/>
    <w:rsid w:val="00C456BD"/>
    <w:rsid w:val="00C4615D"/>
    <w:rsid w:val="00C477D1"/>
    <w:rsid w:val="00C506FF"/>
    <w:rsid w:val="00C50BA2"/>
    <w:rsid w:val="00C530DC"/>
    <w:rsid w:val="00C5350D"/>
    <w:rsid w:val="00C54BDE"/>
    <w:rsid w:val="00C54CEB"/>
    <w:rsid w:val="00C561F8"/>
    <w:rsid w:val="00C56FFD"/>
    <w:rsid w:val="00C606E4"/>
    <w:rsid w:val="00C6123C"/>
    <w:rsid w:val="00C6311A"/>
    <w:rsid w:val="00C6414C"/>
    <w:rsid w:val="00C6561D"/>
    <w:rsid w:val="00C65693"/>
    <w:rsid w:val="00C657FB"/>
    <w:rsid w:val="00C6738E"/>
    <w:rsid w:val="00C7084D"/>
    <w:rsid w:val="00C717E4"/>
    <w:rsid w:val="00C7315E"/>
    <w:rsid w:val="00C75895"/>
    <w:rsid w:val="00C814A6"/>
    <w:rsid w:val="00C81ADB"/>
    <w:rsid w:val="00C82A57"/>
    <w:rsid w:val="00C83C9F"/>
    <w:rsid w:val="00C8451F"/>
    <w:rsid w:val="00C94840"/>
    <w:rsid w:val="00C9588D"/>
    <w:rsid w:val="00CA01EF"/>
    <w:rsid w:val="00CA210E"/>
    <w:rsid w:val="00CA3D18"/>
    <w:rsid w:val="00CA4EE3"/>
    <w:rsid w:val="00CA4FD5"/>
    <w:rsid w:val="00CA68CE"/>
    <w:rsid w:val="00CB027F"/>
    <w:rsid w:val="00CB076C"/>
    <w:rsid w:val="00CB0DE8"/>
    <w:rsid w:val="00CB6FEF"/>
    <w:rsid w:val="00CC02F0"/>
    <w:rsid w:val="00CC0AA1"/>
    <w:rsid w:val="00CC0EBB"/>
    <w:rsid w:val="00CC1F9B"/>
    <w:rsid w:val="00CC4276"/>
    <w:rsid w:val="00CC58AA"/>
    <w:rsid w:val="00CC6297"/>
    <w:rsid w:val="00CC64C6"/>
    <w:rsid w:val="00CC66C2"/>
    <w:rsid w:val="00CC67BC"/>
    <w:rsid w:val="00CC6972"/>
    <w:rsid w:val="00CC7690"/>
    <w:rsid w:val="00CD0488"/>
    <w:rsid w:val="00CD182F"/>
    <w:rsid w:val="00CD1986"/>
    <w:rsid w:val="00CD21A3"/>
    <w:rsid w:val="00CD5259"/>
    <w:rsid w:val="00CD54BF"/>
    <w:rsid w:val="00CD7FD7"/>
    <w:rsid w:val="00CE136F"/>
    <w:rsid w:val="00CE1D3D"/>
    <w:rsid w:val="00CE46E7"/>
    <w:rsid w:val="00CE4D5C"/>
    <w:rsid w:val="00CF05DA"/>
    <w:rsid w:val="00CF264D"/>
    <w:rsid w:val="00CF395F"/>
    <w:rsid w:val="00CF4865"/>
    <w:rsid w:val="00CF58EB"/>
    <w:rsid w:val="00CF5C42"/>
    <w:rsid w:val="00CF5E89"/>
    <w:rsid w:val="00CF608A"/>
    <w:rsid w:val="00CF6FEC"/>
    <w:rsid w:val="00CF715C"/>
    <w:rsid w:val="00D0106E"/>
    <w:rsid w:val="00D01486"/>
    <w:rsid w:val="00D02BE6"/>
    <w:rsid w:val="00D04D26"/>
    <w:rsid w:val="00D060DB"/>
    <w:rsid w:val="00D06383"/>
    <w:rsid w:val="00D11290"/>
    <w:rsid w:val="00D13CCD"/>
    <w:rsid w:val="00D145F0"/>
    <w:rsid w:val="00D15728"/>
    <w:rsid w:val="00D1698E"/>
    <w:rsid w:val="00D16C9C"/>
    <w:rsid w:val="00D20E85"/>
    <w:rsid w:val="00D227B8"/>
    <w:rsid w:val="00D243C2"/>
    <w:rsid w:val="00D24615"/>
    <w:rsid w:val="00D26E10"/>
    <w:rsid w:val="00D37842"/>
    <w:rsid w:val="00D41637"/>
    <w:rsid w:val="00D42DC2"/>
    <w:rsid w:val="00D47B7D"/>
    <w:rsid w:val="00D51347"/>
    <w:rsid w:val="00D523A4"/>
    <w:rsid w:val="00D52B49"/>
    <w:rsid w:val="00D537E1"/>
    <w:rsid w:val="00D54B6C"/>
    <w:rsid w:val="00D55BB2"/>
    <w:rsid w:val="00D575D4"/>
    <w:rsid w:val="00D57DB5"/>
    <w:rsid w:val="00D602E1"/>
    <w:rsid w:val="00D60556"/>
    <w:rsid w:val="00D606EA"/>
    <w:rsid w:val="00D6091A"/>
    <w:rsid w:val="00D61FFF"/>
    <w:rsid w:val="00D64069"/>
    <w:rsid w:val="00D6512B"/>
    <w:rsid w:val="00D6605A"/>
    <w:rsid w:val="00D6695F"/>
    <w:rsid w:val="00D67AF7"/>
    <w:rsid w:val="00D7159E"/>
    <w:rsid w:val="00D7270A"/>
    <w:rsid w:val="00D75644"/>
    <w:rsid w:val="00D75FD0"/>
    <w:rsid w:val="00D774C8"/>
    <w:rsid w:val="00D803AD"/>
    <w:rsid w:val="00D812BC"/>
    <w:rsid w:val="00D81656"/>
    <w:rsid w:val="00D81B6E"/>
    <w:rsid w:val="00D83410"/>
    <w:rsid w:val="00D83877"/>
    <w:rsid w:val="00D83D87"/>
    <w:rsid w:val="00D84A6D"/>
    <w:rsid w:val="00D85387"/>
    <w:rsid w:val="00D86A30"/>
    <w:rsid w:val="00D86D24"/>
    <w:rsid w:val="00D93200"/>
    <w:rsid w:val="00D945F0"/>
    <w:rsid w:val="00D94F7B"/>
    <w:rsid w:val="00D95C5C"/>
    <w:rsid w:val="00D96BD2"/>
    <w:rsid w:val="00D975E4"/>
    <w:rsid w:val="00D97CB4"/>
    <w:rsid w:val="00D97DD4"/>
    <w:rsid w:val="00DA0B87"/>
    <w:rsid w:val="00DA1DE3"/>
    <w:rsid w:val="00DA3ADA"/>
    <w:rsid w:val="00DA5A8A"/>
    <w:rsid w:val="00DA5F75"/>
    <w:rsid w:val="00DB1170"/>
    <w:rsid w:val="00DB26CD"/>
    <w:rsid w:val="00DB441C"/>
    <w:rsid w:val="00DB44AF"/>
    <w:rsid w:val="00DB7CFA"/>
    <w:rsid w:val="00DC1F58"/>
    <w:rsid w:val="00DC3062"/>
    <w:rsid w:val="00DC339B"/>
    <w:rsid w:val="00DC5D40"/>
    <w:rsid w:val="00DC69A7"/>
    <w:rsid w:val="00DC7FA2"/>
    <w:rsid w:val="00DD02AB"/>
    <w:rsid w:val="00DD160E"/>
    <w:rsid w:val="00DD30E9"/>
    <w:rsid w:val="00DD4F47"/>
    <w:rsid w:val="00DD7FBB"/>
    <w:rsid w:val="00DE0B9F"/>
    <w:rsid w:val="00DE2A9E"/>
    <w:rsid w:val="00DE4238"/>
    <w:rsid w:val="00DE657F"/>
    <w:rsid w:val="00DF0380"/>
    <w:rsid w:val="00DF1218"/>
    <w:rsid w:val="00DF28CA"/>
    <w:rsid w:val="00DF2BA4"/>
    <w:rsid w:val="00DF6462"/>
    <w:rsid w:val="00DF75F7"/>
    <w:rsid w:val="00E003DA"/>
    <w:rsid w:val="00E02A79"/>
    <w:rsid w:val="00E02B1C"/>
    <w:rsid w:val="00E02FA0"/>
    <w:rsid w:val="00E036DC"/>
    <w:rsid w:val="00E04168"/>
    <w:rsid w:val="00E05F51"/>
    <w:rsid w:val="00E0682C"/>
    <w:rsid w:val="00E071EF"/>
    <w:rsid w:val="00E10454"/>
    <w:rsid w:val="00E112E5"/>
    <w:rsid w:val="00E122D8"/>
    <w:rsid w:val="00E12CC8"/>
    <w:rsid w:val="00E14944"/>
    <w:rsid w:val="00E15212"/>
    <w:rsid w:val="00E15352"/>
    <w:rsid w:val="00E162DF"/>
    <w:rsid w:val="00E16B95"/>
    <w:rsid w:val="00E20965"/>
    <w:rsid w:val="00E20AB5"/>
    <w:rsid w:val="00E21CC7"/>
    <w:rsid w:val="00E21E4C"/>
    <w:rsid w:val="00E232B1"/>
    <w:rsid w:val="00E24D9E"/>
    <w:rsid w:val="00E252F9"/>
    <w:rsid w:val="00E25849"/>
    <w:rsid w:val="00E262A1"/>
    <w:rsid w:val="00E26B0B"/>
    <w:rsid w:val="00E26E0A"/>
    <w:rsid w:val="00E26FB8"/>
    <w:rsid w:val="00E2720F"/>
    <w:rsid w:val="00E3197E"/>
    <w:rsid w:val="00E31A72"/>
    <w:rsid w:val="00E31C57"/>
    <w:rsid w:val="00E342F8"/>
    <w:rsid w:val="00E351ED"/>
    <w:rsid w:val="00E434C0"/>
    <w:rsid w:val="00E51AE4"/>
    <w:rsid w:val="00E537FE"/>
    <w:rsid w:val="00E55A3B"/>
    <w:rsid w:val="00E55BA0"/>
    <w:rsid w:val="00E60180"/>
    <w:rsid w:val="00E6034B"/>
    <w:rsid w:val="00E6116B"/>
    <w:rsid w:val="00E616C7"/>
    <w:rsid w:val="00E63F00"/>
    <w:rsid w:val="00E646FD"/>
    <w:rsid w:val="00E64F3C"/>
    <w:rsid w:val="00E6549E"/>
    <w:rsid w:val="00E65788"/>
    <w:rsid w:val="00E65EDE"/>
    <w:rsid w:val="00E70F81"/>
    <w:rsid w:val="00E7289E"/>
    <w:rsid w:val="00E7379F"/>
    <w:rsid w:val="00E74E82"/>
    <w:rsid w:val="00E77055"/>
    <w:rsid w:val="00E77460"/>
    <w:rsid w:val="00E77A6C"/>
    <w:rsid w:val="00E806CE"/>
    <w:rsid w:val="00E8317E"/>
    <w:rsid w:val="00E83436"/>
    <w:rsid w:val="00E83ABC"/>
    <w:rsid w:val="00E83E72"/>
    <w:rsid w:val="00E844F2"/>
    <w:rsid w:val="00E854A4"/>
    <w:rsid w:val="00E90AD0"/>
    <w:rsid w:val="00E9104C"/>
    <w:rsid w:val="00E92FCB"/>
    <w:rsid w:val="00E955F6"/>
    <w:rsid w:val="00E96CF0"/>
    <w:rsid w:val="00E97280"/>
    <w:rsid w:val="00EA03F8"/>
    <w:rsid w:val="00EA07A8"/>
    <w:rsid w:val="00EA147F"/>
    <w:rsid w:val="00EA27A4"/>
    <w:rsid w:val="00EA2FE7"/>
    <w:rsid w:val="00EA4A27"/>
    <w:rsid w:val="00EA4FA6"/>
    <w:rsid w:val="00EA500E"/>
    <w:rsid w:val="00EA5AC6"/>
    <w:rsid w:val="00EB0A19"/>
    <w:rsid w:val="00EB189C"/>
    <w:rsid w:val="00EB1A25"/>
    <w:rsid w:val="00EB28CF"/>
    <w:rsid w:val="00EB2AC3"/>
    <w:rsid w:val="00EB4364"/>
    <w:rsid w:val="00EB719F"/>
    <w:rsid w:val="00EC28C6"/>
    <w:rsid w:val="00EC41DD"/>
    <w:rsid w:val="00EC7363"/>
    <w:rsid w:val="00EC76C3"/>
    <w:rsid w:val="00ED03AB"/>
    <w:rsid w:val="00ED099D"/>
    <w:rsid w:val="00ED1963"/>
    <w:rsid w:val="00ED1CD4"/>
    <w:rsid w:val="00ED1D2B"/>
    <w:rsid w:val="00ED64B5"/>
    <w:rsid w:val="00EE1D3F"/>
    <w:rsid w:val="00EE2085"/>
    <w:rsid w:val="00EE3349"/>
    <w:rsid w:val="00EE691C"/>
    <w:rsid w:val="00EE7074"/>
    <w:rsid w:val="00EE7CCA"/>
    <w:rsid w:val="00EE7F83"/>
    <w:rsid w:val="00F01631"/>
    <w:rsid w:val="00F03D96"/>
    <w:rsid w:val="00F075E1"/>
    <w:rsid w:val="00F1242C"/>
    <w:rsid w:val="00F12979"/>
    <w:rsid w:val="00F12D04"/>
    <w:rsid w:val="00F13668"/>
    <w:rsid w:val="00F14594"/>
    <w:rsid w:val="00F14BC5"/>
    <w:rsid w:val="00F1534F"/>
    <w:rsid w:val="00F154AE"/>
    <w:rsid w:val="00F15E32"/>
    <w:rsid w:val="00F16A14"/>
    <w:rsid w:val="00F3131C"/>
    <w:rsid w:val="00F33CE1"/>
    <w:rsid w:val="00F34AA3"/>
    <w:rsid w:val="00F35FCA"/>
    <w:rsid w:val="00F362D7"/>
    <w:rsid w:val="00F366FE"/>
    <w:rsid w:val="00F368AE"/>
    <w:rsid w:val="00F376F4"/>
    <w:rsid w:val="00F37D7B"/>
    <w:rsid w:val="00F42AB0"/>
    <w:rsid w:val="00F42CBB"/>
    <w:rsid w:val="00F44C1D"/>
    <w:rsid w:val="00F468DA"/>
    <w:rsid w:val="00F50339"/>
    <w:rsid w:val="00F51E08"/>
    <w:rsid w:val="00F5314C"/>
    <w:rsid w:val="00F54510"/>
    <w:rsid w:val="00F5688C"/>
    <w:rsid w:val="00F60048"/>
    <w:rsid w:val="00F61CD8"/>
    <w:rsid w:val="00F635DD"/>
    <w:rsid w:val="00F6627B"/>
    <w:rsid w:val="00F71E5C"/>
    <w:rsid w:val="00F72E7D"/>
    <w:rsid w:val="00F730CA"/>
    <w:rsid w:val="00F73186"/>
    <w:rsid w:val="00F7336E"/>
    <w:rsid w:val="00F734F2"/>
    <w:rsid w:val="00F73B41"/>
    <w:rsid w:val="00F746C5"/>
    <w:rsid w:val="00F75052"/>
    <w:rsid w:val="00F75301"/>
    <w:rsid w:val="00F76211"/>
    <w:rsid w:val="00F764F9"/>
    <w:rsid w:val="00F804D3"/>
    <w:rsid w:val="00F80EAB"/>
    <w:rsid w:val="00F816CB"/>
    <w:rsid w:val="00F81CD2"/>
    <w:rsid w:val="00F82641"/>
    <w:rsid w:val="00F82978"/>
    <w:rsid w:val="00F83096"/>
    <w:rsid w:val="00F833AC"/>
    <w:rsid w:val="00F847CE"/>
    <w:rsid w:val="00F85EC4"/>
    <w:rsid w:val="00F90F18"/>
    <w:rsid w:val="00F937E4"/>
    <w:rsid w:val="00F957FD"/>
    <w:rsid w:val="00F95EE7"/>
    <w:rsid w:val="00F96D5A"/>
    <w:rsid w:val="00F96F4E"/>
    <w:rsid w:val="00FA39E6"/>
    <w:rsid w:val="00FA7BC9"/>
    <w:rsid w:val="00FA7DDC"/>
    <w:rsid w:val="00FB00B6"/>
    <w:rsid w:val="00FB0217"/>
    <w:rsid w:val="00FB378E"/>
    <w:rsid w:val="00FB37F1"/>
    <w:rsid w:val="00FB47C0"/>
    <w:rsid w:val="00FB4FDA"/>
    <w:rsid w:val="00FB501B"/>
    <w:rsid w:val="00FB6268"/>
    <w:rsid w:val="00FB7770"/>
    <w:rsid w:val="00FC2F3C"/>
    <w:rsid w:val="00FD12B8"/>
    <w:rsid w:val="00FD1847"/>
    <w:rsid w:val="00FD2EB3"/>
    <w:rsid w:val="00FD2F29"/>
    <w:rsid w:val="00FD3B91"/>
    <w:rsid w:val="00FD576B"/>
    <w:rsid w:val="00FD579E"/>
    <w:rsid w:val="00FD6845"/>
    <w:rsid w:val="00FE32AA"/>
    <w:rsid w:val="00FE446D"/>
    <w:rsid w:val="00FE4516"/>
    <w:rsid w:val="00FE64C8"/>
    <w:rsid w:val="00FE71A1"/>
    <w:rsid w:val="00FF3508"/>
    <w:rsid w:val="00FF7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49ACD2-37CB-4ADE-8A2C-D95EAE0B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26E0A"/>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F76211"/>
    <w:pPr>
      <w:numPr>
        <w:ilvl w:val="2"/>
        <w:numId w:val="6"/>
      </w:numPr>
      <w:ind w:left="1360" w:hanging="680"/>
      <w:outlineLvl w:val="2"/>
    </w:pPr>
    <w:rPr>
      <w:rFonts w:hAnsi="Arial"/>
      <w:bCs/>
      <w:color w:val="000000" w:themeColor="text1"/>
      <w:kern w:val="32"/>
      <w:szCs w:val="36"/>
    </w:rPr>
  </w:style>
  <w:style w:type="paragraph" w:styleId="4">
    <w:name w:val="heading 4"/>
    <w:basedOn w:val="a6"/>
    <w:link w:val="40"/>
    <w:qFormat/>
    <w:rsid w:val="00F76211"/>
    <w:pPr>
      <w:numPr>
        <w:ilvl w:val="3"/>
        <w:numId w:val="6"/>
      </w:numPr>
      <w:ind w:left="1701"/>
      <w:outlineLvl w:val="3"/>
    </w:pPr>
    <w:rPr>
      <w:rFonts w:hAnsi="Arial"/>
      <w:kern w:val="32"/>
      <w:szCs w:val="36"/>
    </w:rPr>
  </w:style>
  <w:style w:type="paragraph" w:styleId="5">
    <w:name w:val="heading 5"/>
    <w:basedOn w:val="a6"/>
    <w:qFormat/>
    <w:rsid w:val="005964C0"/>
    <w:pPr>
      <w:numPr>
        <w:ilvl w:val="4"/>
        <w:numId w:val="6"/>
      </w:numPr>
      <w:outlineLvl w:val="4"/>
    </w:pPr>
    <w:rPr>
      <w:rFonts w:hAnsi="Arial"/>
      <w:bCs/>
      <w:kern w:val="32"/>
      <w:szCs w:val="36"/>
    </w:rPr>
  </w:style>
  <w:style w:type="paragraph" w:styleId="6">
    <w:name w:val="heading 6"/>
    <w:basedOn w:val="a6"/>
    <w:qFormat/>
    <w:rsid w:val="008C583C"/>
    <w:pPr>
      <w:numPr>
        <w:ilvl w:val="5"/>
        <w:numId w:val="6"/>
      </w:numPr>
      <w:tabs>
        <w:tab w:val="left" w:pos="2094"/>
      </w:tabs>
      <w:ind w:left="2382" w:hanging="85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5505EA"/>
    <w:pPr>
      <w:snapToGrid w:val="0"/>
      <w:jc w:val="left"/>
    </w:pPr>
    <w:rPr>
      <w:sz w:val="20"/>
    </w:rPr>
  </w:style>
  <w:style w:type="character" w:customStyle="1" w:styleId="afb">
    <w:name w:val="註腳文字 字元"/>
    <w:basedOn w:val="a7"/>
    <w:link w:val="afa"/>
    <w:uiPriority w:val="99"/>
    <w:rsid w:val="005505EA"/>
    <w:rPr>
      <w:rFonts w:ascii="標楷體" w:eastAsia="標楷體"/>
      <w:kern w:val="2"/>
    </w:rPr>
  </w:style>
  <w:style w:type="character" w:styleId="afc">
    <w:name w:val="footnote reference"/>
    <w:basedOn w:val="a7"/>
    <w:uiPriority w:val="99"/>
    <w:semiHidden/>
    <w:unhideWhenUsed/>
    <w:rsid w:val="005505EA"/>
    <w:rPr>
      <w:vertAlign w:val="superscript"/>
    </w:rPr>
  </w:style>
  <w:style w:type="paragraph" w:styleId="afd">
    <w:name w:val="Body Text"/>
    <w:basedOn w:val="a6"/>
    <w:link w:val="afe"/>
    <w:uiPriority w:val="99"/>
    <w:semiHidden/>
    <w:unhideWhenUsed/>
    <w:rsid w:val="005569B3"/>
    <w:pPr>
      <w:spacing w:after="120"/>
    </w:pPr>
  </w:style>
  <w:style w:type="character" w:customStyle="1" w:styleId="afe">
    <w:name w:val="本文 字元"/>
    <w:basedOn w:val="a7"/>
    <w:link w:val="afd"/>
    <w:uiPriority w:val="99"/>
    <w:semiHidden/>
    <w:rsid w:val="005569B3"/>
    <w:rPr>
      <w:rFonts w:ascii="標楷體" w:eastAsia="標楷體"/>
      <w:kern w:val="2"/>
      <w:sz w:val="32"/>
    </w:rPr>
  </w:style>
  <w:style w:type="paragraph" w:styleId="HTML">
    <w:name w:val="HTML Preformatted"/>
    <w:basedOn w:val="a6"/>
    <w:link w:val="HTML0"/>
    <w:uiPriority w:val="99"/>
    <w:unhideWhenUsed/>
    <w:rsid w:val="00C657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657FB"/>
    <w:rPr>
      <w:rFonts w:ascii="細明體" w:eastAsia="細明體" w:hAnsi="細明體" w:cs="細明體"/>
      <w:sz w:val="24"/>
      <w:szCs w:val="24"/>
    </w:rPr>
  </w:style>
  <w:style w:type="character" w:customStyle="1" w:styleId="30">
    <w:name w:val="標題 3 字元"/>
    <w:basedOn w:val="a7"/>
    <w:link w:val="3"/>
    <w:rsid w:val="00F76211"/>
    <w:rPr>
      <w:rFonts w:ascii="標楷體" w:eastAsia="標楷體" w:hAnsi="Arial"/>
      <w:bCs/>
      <w:color w:val="000000" w:themeColor="text1"/>
      <w:kern w:val="32"/>
      <w:sz w:val="32"/>
      <w:szCs w:val="36"/>
    </w:rPr>
  </w:style>
  <w:style w:type="character" w:customStyle="1" w:styleId="20">
    <w:name w:val="標題 2 字元"/>
    <w:basedOn w:val="a7"/>
    <w:link w:val="2"/>
    <w:rsid w:val="00D975E4"/>
    <w:rPr>
      <w:rFonts w:ascii="標楷體" w:eastAsia="標楷體" w:hAnsi="Arial"/>
      <w:bCs/>
      <w:kern w:val="32"/>
      <w:sz w:val="32"/>
      <w:szCs w:val="48"/>
    </w:rPr>
  </w:style>
  <w:style w:type="character" w:customStyle="1" w:styleId="40">
    <w:name w:val="標題 4 字元"/>
    <w:basedOn w:val="a7"/>
    <w:link w:val="4"/>
    <w:rsid w:val="00F76211"/>
    <w:rPr>
      <w:rFonts w:ascii="標楷體" w:eastAsia="標楷體" w:hAnsi="Arial"/>
      <w:kern w:val="32"/>
      <w:sz w:val="32"/>
      <w:szCs w:val="36"/>
    </w:rPr>
  </w:style>
  <w:style w:type="paragraph" w:styleId="Web">
    <w:name w:val="Normal (Web)"/>
    <w:basedOn w:val="a6"/>
    <w:uiPriority w:val="99"/>
    <w:semiHidden/>
    <w:unhideWhenUsed/>
    <w:rsid w:val="00CA3D1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Placeholder Text"/>
    <w:basedOn w:val="a7"/>
    <w:uiPriority w:val="99"/>
    <w:semiHidden/>
    <w:rsid w:val="00D145F0"/>
    <w:rPr>
      <w:color w:val="808080"/>
    </w:rPr>
  </w:style>
  <w:style w:type="paragraph" w:styleId="33">
    <w:name w:val="Body Text 3"/>
    <w:basedOn w:val="a6"/>
    <w:link w:val="34"/>
    <w:uiPriority w:val="99"/>
    <w:semiHidden/>
    <w:unhideWhenUsed/>
    <w:rsid w:val="001A1A20"/>
    <w:pPr>
      <w:spacing w:after="120"/>
    </w:pPr>
    <w:rPr>
      <w:sz w:val="16"/>
      <w:szCs w:val="16"/>
    </w:rPr>
  </w:style>
  <w:style w:type="character" w:customStyle="1" w:styleId="34">
    <w:name w:val="本文 3 字元"/>
    <w:basedOn w:val="a7"/>
    <w:link w:val="33"/>
    <w:uiPriority w:val="99"/>
    <w:semiHidden/>
    <w:rsid w:val="001A1A20"/>
    <w:rPr>
      <w:rFonts w:ascii="標楷體" w:eastAsia="標楷體"/>
      <w:kern w:val="2"/>
      <w:sz w:val="16"/>
      <w:szCs w:val="16"/>
    </w:rPr>
  </w:style>
  <w:style w:type="paragraph" w:customStyle="1" w:styleId="43">
    <w:name w:val="樣式4"/>
    <w:basedOn w:val="a6"/>
    <w:rsid w:val="001A1A20"/>
    <w:pPr>
      <w:overflowPunct/>
      <w:autoSpaceDE/>
      <w:autoSpaceDN/>
      <w:jc w:val="center"/>
    </w:pPr>
    <w:rPr>
      <w:spacing w:val="14"/>
      <w:sz w:val="28"/>
      <w:szCs w:val="28"/>
    </w:rPr>
  </w:style>
  <w:style w:type="table" w:customStyle="1" w:styleId="13">
    <w:name w:val="表格格線1"/>
    <w:basedOn w:val="a8"/>
    <w:next w:val="af6"/>
    <w:uiPriority w:val="39"/>
    <w:rsid w:val="006070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29">
      <w:bodyDiv w:val="1"/>
      <w:marLeft w:val="0"/>
      <w:marRight w:val="0"/>
      <w:marTop w:val="0"/>
      <w:marBottom w:val="0"/>
      <w:divBdr>
        <w:top w:val="none" w:sz="0" w:space="0" w:color="auto"/>
        <w:left w:val="none" w:sz="0" w:space="0" w:color="auto"/>
        <w:bottom w:val="none" w:sz="0" w:space="0" w:color="auto"/>
        <w:right w:val="none" w:sz="0" w:space="0" w:color="auto"/>
      </w:divBdr>
      <w:divsChild>
        <w:div w:id="1823112467">
          <w:marLeft w:val="706"/>
          <w:marRight w:val="0"/>
          <w:marTop w:val="134"/>
          <w:marBottom w:val="0"/>
          <w:divBdr>
            <w:top w:val="none" w:sz="0" w:space="0" w:color="auto"/>
            <w:left w:val="none" w:sz="0" w:space="0" w:color="auto"/>
            <w:bottom w:val="none" w:sz="0" w:space="0" w:color="auto"/>
            <w:right w:val="none" w:sz="0" w:space="0" w:color="auto"/>
          </w:divBdr>
        </w:div>
        <w:div w:id="1515608831">
          <w:marLeft w:val="1555"/>
          <w:marRight w:val="0"/>
          <w:marTop w:val="115"/>
          <w:marBottom w:val="0"/>
          <w:divBdr>
            <w:top w:val="none" w:sz="0" w:space="0" w:color="auto"/>
            <w:left w:val="none" w:sz="0" w:space="0" w:color="auto"/>
            <w:bottom w:val="none" w:sz="0" w:space="0" w:color="auto"/>
            <w:right w:val="none" w:sz="0" w:space="0" w:color="auto"/>
          </w:divBdr>
        </w:div>
        <w:div w:id="535197917">
          <w:marLeft w:val="1555"/>
          <w:marRight w:val="0"/>
          <w:marTop w:val="115"/>
          <w:marBottom w:val="0"/>
          <w:divBdr>
            <w:top w:val="none" w:sz="0" w:space="0" w:color="auto"/>
            <w:left w:val="none" w:sz="0" w:space="0" w:color="auto"/>
            <w:bottom w:val="none" w:sz="0" w:space="0" w:color="auto"/>
            <w:right w:val="none" w:sz="0" w:space="0" w:color="auto"/>
          </w:divBdr>
        </w:div>
        <w:div w:id="790517308">
          <w:marLeft w:val="1555"/>
          <w:marRight w:val="0"/>
          <w:marTop w:val="115"/>
          <w:marBottom w:val="0"/>
          <w:divBdr>
            <w:top w:val="none" w:sz="0" w:space="0" w:color="auto"/>
            <w:left w:val="none" w:sz="0" w:space="0" w:color="auto"/>
            <w:bottom w:val="none" w:sz="0" w:space="0" w:color="auto"/>
            <w:right w:val="none" w:sz="0" w:space="0" w:color="auto"/>
          </w:divBdr>
        </w:div>
        <w:div w:id="2123723948">
          <w:marLeft w:val="1555"/>
          <w:marRight w:val="0"/>
          <w:marTop w:val="115"/>
          <w:marBottom w:val="0"/>
          <w:divBdr>
            <w:top w:val="none" w:sz="0" w:space="0" w:color="auto"/>
            <w:left w:val="none" w:sz="0" w:space="0" w:color="auto"/>
            <w:bottom w:val="none" w:sz="0" w:space="0" w:color="auto"/>
            <w:right w:val="none" w:sz="0" w:space="0" w:color="auto"/>
          </w:divBdr>
        </w:div>
        <w:div w:id="315427153">
          <w:marLeft w:val="1555"/>
          <w:marRight w:val="0"/>
          <w:marTop w:val="115"/>
          <w:marBottom w:val="0"/>
          <w:divBdr>
            <w:top w:val="none" w:sz="0" w:space="0" w:color="auto"/>
            <w:left w:val="none" w:sz="0" w:space="0" w:color="auto"/>
            <w:bottom w:val="none" w:sz="0" w:space="0" w:color="auto"/>
            <w:right w:val="none" w:sz="0" w:space="0" w:color="auto"/>
          </w:divBdr>
        </w:div>
      </w:divsChild>
    </w:div>
    <w:div w:id="107894903">
      <w:bodyDiv w:val="1"/>
      <w:marLeft w:val="0"/>
      <w:marRight w:val="0"/>
      <w:marTop w:val="0"/>
      <w:marBottom w:val="0"/>
      <w:divBdr>
        <w:top w:val="none" w:sz="0" w:space="0" w:color="auto"/>
        <w:left w:val="none" w:sz="0" w:space="0" w:color="auto"/>
        <w:bottom w:val="none" w:sz="0" w:space="0" w:color="auto"/>
        <w:right w:val="none" w:sz="0" w:space="0" w:color="auto"/>
      </w:divBdr>
      <w:divsChild>
        <w:div w:id="1085305807">
          <w:marLeft w:val="0"/>
          <w:marRight w:val="0"/>
          <w:marTop w:val="0"/>
          <w:marBottom w:val="0"/>
          <w:divBdr>
            <w:top w:val="none" w:sz="0" w:space="0" w:color="auto"/>
            <w:left w:val="none" w:sz="0" w:space="0" w:color="auto"/>
            <w:bottom w:val="none" w:sz="0" w:space="0" w:color="auto"/>
            <w:right w:val="none" w:sz="0" w:space="0" w:color="auto"/>
          </w:divBdr>
          <w:divsChild>
            <w:div w:id="1820606874">
              <w:marLeft w:val="0"/>
              <w:marRight w:val="0"/>
              <w:marTop w:val="100"/>
              <w:marBottom w:val="100"/>
              <w:divBdr>
                <w:top w:val="none" w:sz="0" w:space="0" w:color="auto"/>
                <w:left w:val="none" w:sz="0" w:space="0" w:color="auto"/>
                <w:bottom w:val="none" w:sz="0" w:space="0" w:color="auto"/>
                <w:right w:val="none" w:sz="0" w:space="0" w:color="auto"/>
              </w:divBdr>
              <w:divsChild>
                <w:div w:id="1476296365">
                  <w:marLeft w:val="0"/>
                  <w:marRight w:val="0"/>
                  <w:marTop w:val="45"/>
                  <w:marBottom w:val="120"/>
                  <w:divBdr>
                    <w:top w:val="none" w:sz="0" w:space="0" w:color="auto"/>
                    <w:left w:val="none" w:sz="0" w:space="0" w:color="auto"/>
                    <w:bottom w:val="none" w:sz="0" w:space="0" w:color="auto"/>
                    <w:right w:val="none" w:sz="0" w:space="0" w:color="auto"/>
                  </w:divBdr>
                  <w:divsChild>
                    <w:div w:id="730270977">
                      <w:marLeft w:val="0"/>
                      <w:marRight w:val="0"/>
                      <w:marTop w:val="0"/>
                      <w:marBottom w:val="0"/>
                      <w:divBdr>
                        <w:top w:val="none" w:sz="0" w:space="0" w:color="auto"/>
                        <w:left w:val="none" w:sz="0" w:space="0" w:color="auto"/>
                        <w:bottom w:val="none" w:sz="0" w:space="0" w:color="auto"/>
                        <w:right w:val="none" w:sz="0" w:space="0" w:color="auto"/>
                      </w:divBdr>
                      <w:divsChild>
                        <w:div w:id="1859543301">
                          <w:marLeft w:val="0"/>
                          <w:marRight w:val="0"/>
                          <w:marTop w:val="0"/>
                          <w:marBottom w:val="0"/>
                          <w:divBdr>
                            <w:top w:val="none" w:sz="0" w:space="0" w:color="auto"/>
                            <w:left w:val="none" w:sz="0" w:space="0" w:color="auto"/>
                            <w:bottom w:val="none" w:sz="0" w:space="0" w:color="auto"/>
                            <w:right w:val="none" w:sz="0" w:space="0" w:color="auto"/>
                          </w:divBdr>
                          <w:divsChild>
                            <w:div w:id="68308897">
                              <w:marLeft w:val="0"/>
                              <w:marRight w:val="0"/>
                              <w:marTop w:val="0"/>
                              <w:marBottom w:val="120"/>
                              <w:divBdr>
                                <w:top w:val="single" w:sz="12" w:space="0" w:color="4EA3E9"/>
                                <w:left w:val="none" w:sz="0" w:space="0" w:color="auto"/>
                                <w:bottom w:val="single" w:sz="12" w:space="0" w:color="4EA3E9"/>
                                <w:right w:val="none" w:sz="0" w:space="0" w:color="auto"/>
                              </w:divBdr>
                              <w:divsChild>
                                <w:div w:id="2219118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8552">
      <w:bodyDiv w:val="1"/>
      <w:marLeft w:val="0"/>
      <w:marRight w:val="0"/>
      <w:marTop w:val="0"/>
      <w:marBottom w:val="0"/>
      <w:divBdr>
        <w:top w:val="none" w:sz="0" w:space="0" w:color="auto"/>
        <w:left w:val="none" w:sz="0" w:space="0" w:color="auto"/>
        <w:bottom w:val="none" w:sz="0" w:space="0" w:color="auto"/>
        <w:right w:val="none" w:sz="0" w:space="0" w:color="auto"/>
      </w:divBdr>
      <w:divsChild>
        <w:div w:id="1938370676">
          <w:marLeft w:val="1008"/>
          <w:marRight w:val="0"/>
          <w:marTop w:val="125"/>
          <w:marBottom w:val="0"/>
          <w:divBdr>
            <w:top w:val="none" w:sz="0" w:space="0" w:color="auto"/>
            <w:left w:val="none" w:sz="0" w:space="0" w:color="auto"/>
            <w:bottom w:val="none" w:sz="0" w:space="0" w:color="auto"/>
            <w:right w:val="none" w:sz="0" w:space="0" w:color="auto"/>
          </w:divBdr>
        </w:div>
        <w:div w:id="1533035285">
          <w:marLeft w:val="1008"/>
          <w:marRight w:val="0"/>
          <w:marTop w:val="125"/>
          <w:marBottom w:val="0"/>
          <w:divBdr>
            <w:top w:val="none" w:sz="0" w:space="0" w:color="auto"/>
            <w:left w:val="none" w:sz="0" w:space="0" w:color="auto"/>
            <w:bottom w:val="none" w:sz="0" w:space="0" w:color="auto"/>
            <w:right w:val="none" w:sz="0" w:space="0" w:color="auto"/>
          </w:divBdr>
        </w:div>
      </w:divsChild>
    </w:div>
    <w:div w:id="183905985">
      <w:bodyDiv w:val="1"/>
      <w:marLeft w:val="0"/>
      <w:marRight w:val="0"/>
      <w:marTop w:val="0"/>
      <w:marBottom w:val="0"/>
      <w:divBdr>
        <w:top w:val="none" w:sz="0" w:space="0" w:color="auto"/>
        <w:left w:val="none" w:sz="0" w:space="0" w:color="auto"/>
        <w:bottom w:val="none" w:sz="0" w:space="0" w:color="auto"/>
        <w:right w:val="none" w:sz="0" w:space="0" w:color="auto"/>
      </w:divBdr>
      <w:divsChild>
        <w:div w:id="982202135">
          <w:marLeft w:val="0"/>
          <w:marRight w:val="0"/>
          <w:marTop w:val="0"/>
          <w:marBottom w:val="0"/>
          <w:divBdr>
            <w:top w:val="none" w:sz="0" w:space="0" w:color="auto"/>
            <w:left w:val="none" w:sz="0" w:space="0" w:color="auto"/>
            <w:bottom w:val="none" w:sz="0" w:space="0" w:color="auto"/>
            <w:right w:val="none" w:sz="0" w:space="0" w:color="auto"/>
          </w:divBdr>
          <w:divsChild>
            <w:div w:id="1297100758">
              <w:marLeft w:val="0"/>
              <w:marRight w:val="0"/>
              <w:marTop w:val="100"/>
              <w:marBottom w:val="100"/>
              <w:divBdr>
                <w:top w:val="none" w:sz="0" w:space="0" w:color="auto"/>
                <w:left w:val="none" w:sz="0" w:space="0" w:color="auto"/>
                <w:bottom w:val="none" w:sz="0" w:space="0" w:color="auto"/>
                <w:right w:val="none" w:sz="0" w:space="0" w:color="auto"/>
              </w:divBdr>
              <w:divsChild>
                <w:div w:id="1500776691">
                  <w:marLeft w:val="0"/>
                  <w:marRight w:val="0"/>
                  <w:marTop w:val="45"/>
                  <w:marBottom w:val="120"/>
                  <w:divBdr>
                    <w:top w:val="none" w:sz="0" w:space="0" w:color="auto"/>
                    <w:left w:val="none" w:sz="0" w:space="0" w:color="auto"/>
                    <w:bottom w:val="none" w:sz="0" w:space="0" w:color="auto"/>
                    <w:right w:val="none" w:sz="0" w:space="0" w:color="auto"/>
                  </w:divBdr>
                  <w:divsChild>
                    <w:div w:id="1052002264">
                      <w:marLeft w:val="0"/>
                      <w:marRight w:val="0"/>
                      <w:marTop w:val="0"/>
                      <w:marBottom w:val="0"/>
                      <w:divBdr>
                        <w:top w:val="none" w:sz="0" w:space="0" w:color="auto"/>
                        <w:left w:val="none" w:sz="0" w:space="0" w:color="auto"/>
                        <w:bottom w:val="none" w:sz="0" w:space="0" w:color="auto"/>
                        <w:right w:val="none" w:sz="0" w:space="0" w:color="auto"/>
                      </w:divBdr>
                      <w:divsChild>
                        <w:div w:id="126117739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5046553">
      <w:bodyDiv w:val="1"/>
      <w:marLeft w:val="0"/>
      <w:marRight w:val="0"/>
      <w:marTop w:val="0"/>
      <w:marBottom w:val="0"/>
      <w:divBdr>
        <w:top w:val="none" w:sz="0" w:space="0" w:color="auto"/>
        <w:left w:val="none" w:sz="0" w:space="0" w:color="auto"/>
        <w:bottom w:val="none" w:sz="0" w:space="0" w:color="auto"/>
        <w:right w:val="none" w:sz="0" w:space="0" w:color="auto"/>
      </w:divBdr>
      <w:divsChild>
        <w:div w:id="1492982269">
          <w:marLeft w:val="0"/>
          <w:marRight w:val="0"/>
          <w:marTop w:val="0"/>
          <w:marBottom w:val="0"/>
          <w:divBdr>
            <w:top w:val="none" w:sz="0" w:space="0" w:color="auto"/>
            <w:left w:val="none" w:sz="0" w:space="0" w:color="auto"/>
            <w:bottom w:val="none" w:sz="0" w:space="0" w:color="auto"/>
            <w:right w:val="none" w:sz="0" w:space="0" w:color="auto"/>
          </w:divBdr>
          <w:divsChild>
            <w:div w:id="44723637">
              <w:marLeft w:val="0"/>
              <w:marRight w:val="0"/>
              <w:marTop w:val="100"/>
              <w:marBottom w:val="100"/>
              <w:divBdr>
                <w:top w:val="none" w:sz="0" w:space="0" w:color="auto"/>
                <w:left w:val="none" w:sz="0" w:space="0" w:color="auto"/>
                <w:bottom w:val="none" w:sz="0" w:space="0" w:color="auto"/>
                <w:right w:val="none" w:sz="0" w:space="0" w:color="auto"/>
              </w:divBdr>
              <w:divsChild>
                <w:div w:id="1593467661">
                  <w:marLeft w:val="0"/>
                  <w:marRight w:val="0"/>
                  <w:marTop w:val="45"/>
                  <w:marBottom w:val="120"/>
                  <w:divBdr>
                    <w:top w:val="none" w:sz="0" w:space="0" w:color="auto"/>
                    <w:left w:val="none" w:sz="0" w:space="0" w:color="auto"/>
                    <w:bottom w:val="none" w:sz="0" w:space="0" w:color="auto"/>
                    <w:right w:val="none" w:sz="0" w:space="0" w:color="auto"/>
                  </w:divBdr>
                  <w:divsChild>
                    <w:div w:id="720523999">
                      <w:marLeft w:val="0"/>
                      <w:marRight w:val="0"/>
                      <w:marTop w:val="0"/>
                      <w:marBottom w:val="0"/>
                      <w:divBdr>
                        <w:top w:val="none" w:sz="0" w:space="0" w:color="auto"/>
                        <w:left w:val="none" w:sz="0" w:space="0" w:color="auto"/>
                        <w:bottom w:val="none" w:sz="0" w:space="0" w:color="auto"/>
                        <w:right w:val="none" w:sz="0" w:space="0" w:color="auto"/>
                      </w:divBdr>
                      <w:divsChild>
                        <w:div w:id="1004747784">
                          <w:marLeft w:val="0"/>
                          <w:marRight w:val="0"/>
                          <w:marTop w:val="0"/>
                          <w:marBottom w:val="0"/>
                          <w:divBdr>
                            <w:top w:val="none" w:sz="0" w:space="0" w:color="auto"/>
                            <w:left w:val="none" w:sz="0" w:space="0" w:color="auto"/>
                            <w:bottom w:val="none" w:sz="0" w:space="0" w:color="auto"/>
                            <w:right w:val="none" w:sz="0" w:space="0" w:color="auto"/>
                          </w:divBdr>
                          <w:divsChild>
                            <w:div w:id="876435547">
                              <w:marLeft w:val="0"/>
                              <w:marRight w:val="0"/>
                              <w:marTop w:val="0"/>
                              <w:marBottom w:val="120"/>
                              <w:divBdr>
                                <w:top w:val="single" w:sz="12" w:space="0" w:color="4EA3E9"/>
                                <w:left w:val="none" w:sz="0" w:space="0" w:color="auto"/>
                                <w:bottom w:val="single" w:sz="12" w:space="0" w:color="4EA3E9"/>
                                <w:right w:val="none" w:sz="0" w:space="0" w:color="auto"/>
                              </w:divBdr>
                              <w:divsChild>
                                <w:div w:id="6885334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101956">
      <w:bodyDiv w:val="1"/>
      <w:marLeft w:val="0"/>
      <w:marRight w:val="0"/>
      <w:marTop w:val="0"/>
      <w:marBottom w:val="0"/>
      <w:divBdr>
        <w:top w:val="none" w:sz="0" w:space="0" w:color="auto"/>
        <w:left w:val="none" w:sz="0" w:space="0" w:color="auto"/>
        <w:bottom w:val="none" w:sz="0" w:space="0" w:color="auto"/>
        <w:right w:val="none" w:sz="0" w:space="0" w:color="auto"/>
      </w:divBdr>
    </w:div>
    <w:div w:id="339040674">
      <w:bodyDiv w:val="1"/>
      <w:marLeft w:val="0"/>
      <w:marRight w:val="0"/>
      <w:marTop w:val="0"/>
      <w:marBottom w:val="0"/>
      <w:divBdr>
        <w:top w:val="none" w:sz="0" w:space="0" w:color="auto"/>
        <w:left w:val="none" w:sz="0" w:space="0" w:color="auto"/>
        <w:bottom w:val="none" w:sz="0" w:space="0" w:color="auto"/>
        <w:right w:val="none" w:sz="0" w:space="0" w:color="auto"/>
      </w:divBdr>
    </w:div>
    <w:div w:id="343627806">
      <w:bodyDiv w:val="1"/>
      <w:marLeft w:val="0"/>
      <w:marRight w:val="0"/>
      <w:marTop w:val="0"/>
      <w:marBottom w:val="0"/>
      <w:divBdr>
        <w:top w:val="none" w:sz="0" w:space="0" w:color="auto"/>
        <w:left w:val="none" w:sz="0" w:space="0" w:color="auto"/>
        <w:bottom w:val="none" w:sz="0" w:space="0" w:color="auto"/>
        <w:right w:val="none" w:sz="0" w:space="0" w:color="auto"/>
      </w:divBdr>
    </w:div>
    <w:div w:id="393090039">
      <w:bodyDiv w:val="1"/>
      <w:marLeft w:val="0"/>
      <w:marRight w:val="0"/>
      <w:marTop w:val="0"/>
      <w:marBottom w:val="0"/>
      <w:divBdr>
        <w:top w:val="none" w:sz="0" w:space="0" w:color="auto"/>
        <w:left w:val="none" w:sz="0" w:space="0" w:color="auto"/>
        <w:bottom w:val="none" w:sz="0" w:space="0" w:color="auto"/>
        <w:right w:val="none" w:sz="0" w:space="0" w:color="auto"/>
      </w:divBdr>
      <w:divsChild>
        <w:div w:id="1944072159">
          <w:marLeft w:val="0"/>
          <w:marRight w:val="0"/>
          <w:marTop w:val="0"/>
          <w:marBottom w:val="0"/>
          <w:divBdr>
            <w:top w:val="none" w:sz="0" w:space="0" w:color="auto"/>
            <w:left w:val="none" w:sz="0" w:space="0" w:color="auto"/>
            <w:bottom w:val="none" w:sz="0" w:space="0" w:color="auto"/>
            <w:right w:val="none" w:sz="0" w:space="0" w:color="auto"/>
          </w:divBdr>
          <w:divsChild>
            <w:div w:id="284388896">
              <w:marLeft w:val="0"/>
              <w:marRight w:val="0"/>
              <w:marTop w:val="100"/>
              <w:marBottom w:val="100"/>
              <w:divBdr>
                <w:top w:val="none" w:sz="0" w:space="0" w:color="auto"/>
                <w:left w:val="none" w:sz="0" w:space="0" w:color="auto"/>
                <w:bottom w:val="none" w:sz="0" w:space="0" w:color="auto"/>
                <w:right w:val="none" w:sz="0" w:space="0" w:color="auto"/>
              </w:divBdr>
              <w:divsChild>
                <w:div w:id="2070028671">
                  <w:marLeft w:val="0"/>
                  <w:marRight w:val="0"/>
                  <w:marTop w:val="45"/>
                  <w:marBottom w:val="120"/>
                  <w:divBdr>
                    <w:top w:val="none" w:sz="0" w:space="0" w:color="auto"/>
                    <w:left w:val="none" w:sz="0" w:space="0" w:color="auto"/>
                    <w:bottom w:val="none" w:sz="0" w:space="0" w:color="auto"/>
                    <w:right w:val="none" w:sz="0" w:space="0" w:color="auto"/>
                  </w:divBdr>
                  <w:divsChild>
                    <w:div w:id="1078794722">
                      <w:marLeft w:val="0"/>
                      <w:marRight w:val="0"/>
                      <w:marTop w:val="0"/>
                      <w:marBottom w:val="0"/>
                      <w:divBdr>
                        <w:top w:val="none" w:sz="0" w:space="0" w:color="auto"/>
                        <w:left w:val="none" w:sz="0" w:space="0" w:color="auto"/>
                        <w:bottom w:val="none" w:sz="0" w:space="0" w:color="auto"/>
                        <w:right w:val="none" w:sz="0" w:space="0" w:color="auto"/>
                      </w:divBdr>
                      <w:divsChild>
                        <w:div w:id="46736103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19469960">
      <w:bodyDiv w:val="1"/>
      <w:marLeft w:val="0"/>
      <w:marRight w:val="0"/>
      <w:marTop w:val="0"/>
      <w:marBottom w:val="0"/>
      <w:divBdr>
        <w:top w:val="none" w:sz="0" w:space="0" w:color="auto"/>
        <w:left w:val="none" w:sz="0" w:space="0" w:color="auto"/>
        <w:bottom w:val="none" w:sz="0" w:space="0" w:color="auto"/>
        <w:right w:val="none" w:sz="0" w:space="0" w:color="auto"/>
      </w:divBdr>
      <w:divsChild>
        <w:div w:id="1371105702">
          <w:marLeft w:val="0"/>
          <w:marRight w:val="0"/>
          <w:marTop w:val="0"/>
          <w:marBottom w:val="0"/>
          <w:divBdr>
            <w:top w:val="none" w:sz="0" w:space="0" w:color="auto"/>
            <w:left w:val="none" w:sz="0" w:space="0" w:color="auto"/>
            <w:bottom w:val="none" w:sz="0" w:space="0" w:color="auto"/>
            <w:right w:val="none" w:sz="0" w:space="0" w:color="auto"/>
          </w:divBdr>
          <w:divsChild>
            <w:div w:id="876620855">
              <w:marLeft w:val="0"/>
              <w:marRight w:val="0"/>
              <w:marTop w:val="100"/>
              <w:marBottom w:val="100"/>
              <w:divBdr>
                <w:top w:val="none" w:sz="0" w:space="0" w:color="auto"/>
                <w:left w:val="none" w:sz="0" w:space="0" w:color="auto"/>
                <w:bottom w:val="none" w:sz="0" w:space="0" w:color="auto"/>
                <w:right w:val="none" w:sz="0" w:space="0" w:color="auto"/>
              </w:divBdr>
              <w:divsChild>
                <w:div w:id="2040351871">
                  <w:marLeft w:val="0"/>
                  <w:marRight w:val="0"/>
                  <w:marTop w:val="45"/>
                  <w:marBottom w:val="120"/>
                  <w:divBdr>
                    <w:top w:val="none" w:sz="0" w:space="0" w:color="auto"/>
                    <w:left w:val="none" w:sz="0" w:space="0" w:color="auto"/>
                    <w:bottom w:val="none" w:sz="0" w:space="0" w:color="auto"/>
                    <w:right w:val="none" w:sz="0" w:space="0" w:color="auto"/>
                  </w:divBdr>
                  <w:divsChild>
                    <w:div w:id="1540970415">
                      <w:marLeft w:val="0"/>
                      <w:marRight w:val="0"/>
                      <w:marTop w:val="0"/>
                      <w:marBottom w:val="0"/>
                      <w:divBdr>
                        <w:top w:val="none" w:sz="0" w:space="0" w:color="auto"/>
                        <w:left w:val="none" w:sz="0" w:space="0" w:color="auto"/>
                        <w:bottom w:val="none" w:sz="0" w:space="0" w:color="auto"/>
                        <w:right w:val="none" w:sz="0" w:space="0" w:color="auto"/>
                      </w:divBdr>
                      <w:divsChild>
                        <w:div w:id="85060806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21941905">
      <w:bodyDiv w:val="1"/>
      <w:marLeft w:val="0"/>
      <w:marRight w:val="0"/>
      <w:marTop w:val="0"/>
      <w:marBottom w:val="0"/>
      <w:divBdr>
        <w:top w:val="none" w:sz="0" w:space="0" w:color="auto"/>
        <w:left w:val="none" w:sz="0" w:space="0" w:color="auto"/>
        <w:bottom w:val="none" w:sz="0" w:space="0" w:color="auto"/>
        <w:right w:val="none" w:sz="0" w:space="0" w:color="auto"/>
      </w:divBdr>
      <w:divsChild>
        <w:div w:id="1579825844">
          <w:marLeft w:val="0"/>
          <w:marRight w:val="0"/>
          <w:marTop w:val="0"/>
          <w:marBottom w:val="0"/>
          <w:divBdr>
            <w:top w:val="none" w:sz="0" w:space="0" w:color="auto"/>
            <w:left w:val="none" w:sz="0" w:space="0" w:color="auto"/>
            <w:bottom w:val="none" w:sz="0" w:space="0" w:color="auto"/>
            <w:right w:val="none" w:sz="0" w:space="0" w:color="auto"/>
          </w:divBdr>
          <w:divsChild>
            <w:div w:id="689070413">
              <w:marLeft w:val="0"/>
              <w:marRight w:val="0"/>
              <w:marTop w:val="100"/>
              <w:marBottom w:val="100"/>
              <w:divBdr>
                <w:top w:val="none" w:sz="0" w:space="0" w:color="auto"/>
                <w:left w:val="none" w:sz="0" w:space="0" w:color="auto"/>
                <w:bottom w:val="none" w:sz="0" w:space="0" w:color="auto"/>
                <w:right w:val="none" w:sz="0" w:space="0" w:color="auto"/>
              </w:divBdr>
              <w:divsChild>
                <w:div w:id="482091472">
                  <w:marLeft w:val="0"/>
                  <w:marRight w:val="0"/>
                  <w:marTop w:val="45"/>
                  <w:marBottom w:val="120"/>
                  <w:divBdr>
                    <w:top w:val="none" w:sz="0" w:space="0" w:color="auto"/>
                    <w:left w:val="none" w:sz="0" w:space="0" w:color="auto"/>
                    <w:bottom w:val="none" w:sz="0" w:space="0" w:color="auto"/>
                    <w:right w:val="none" w:sz="0" w:space="0" w:color="auto"/>
                  </w:divBdr>
                  <w:divsChild>
                    <w:div w:id="1179006016">
                      <w:marLeft w:val="0"/>
                      <w:marRight w:val="0"/>
                      <w:marTop w:val="0"/>
                      <w:marBottom w:val="0"/>
                      <w:divBdr>
                        <w:top w:val="none" w:sz="0" w:space="0" w:color="auto"/>
                        <w:left w:val="none" w:sz="0" w:space="0" w:color="auto"/>
                        <w:bottom w:val="none" w:sz="0" w:space="0" w:color="auto"/>
                        <w:right w:val="none" w:sz="0" w:space="0" w:color="auto"/>
                      </w:divBdr>
                      <w:divsChild>
                        <w:div w:id="19092681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31847943">
      <w:bodyDiv w:val="1"/>
      <w:marLeft w:val="0"/>
      <w:marRight w:val="0"/>
      <w:marTop w:val="0"/>
      <w:marBottom w:val="0"/>
      <w:divBdr>
        <w:top w:val="none" w:sz="0" w:space="0" w:color="auto"/>
        <w:left w:val="none" w:sz="0" w:space="0" w:color="auto"/>
        <w:bottom w:val="none" w:sz="0" w:space="0" w:color="auto"/>
        <w:right w:val="none" w:sz="0" w:space="0" w:color="auto"/>
      </w:divBdr>
      <w:divsChild>
        <w:div w:id="57168429">
          <w:marLeft w:val="0"/>
          <w:marRight w:val="0"/>
          <w:marTop w:val="0"/>
          <w:marBottom w:val="0"/>
          <w:divBdr>
            <w:top w:val="none" w:sz="0" w:space="0" w:color="auto"/>
            <w:left w:val="none" w:sz="0" w:space="0" w:color="auto"/>
            <w:bottom w:val="none" w:sz="0" w:space="0" w:color="auto"/>
            <w:right w:val="none" w:sz="0" w:space="0" w:color="auto"/>
          </w:divBdr>
          <w:divsChild>
            <w:div w:id="513418242">
              <w:marLeft w:val="0"/>
              <w:marRight w:val="0"/>
              <w:marTop w:val="100"/>
              <w:marBottom w:val="100"/>
              <w:divBdr>
                <w:top w:val="none" w:sz="0" w:space="0" w:color="auto"/>
                <w:left w:val="none" w:sz="0" w:space="0" w:color="auto"/>
                <w:bottom w:val="none" w:sz="0" w:space="0" w:color="auto"/>
                <w:right w:val="none" w:sz="0" w:space="0" w:color="auto"/>
              </w:divBdr>
              <w:divsChild>
                <w:div w:id="875508220">
                  <w:marLeft w:val="0"/>
                  <w:marRight w:val="0"/>
                  <w:marTop w:val="45"/>
                  <w:marBottom w:val="120"/>
                  <w:divBdr>
                    <w:top w:val="none" w:sz="0" w:space="0" w:color="auto"/>
                    <w:left w:val="none" w:sz="0" w:space="0" w:color="auto"/>
                    <w:bottom w:val="none" w:sz="0" w:space="0" w:color="auto"/>
                    <w:right w:val="none" w:sz="0" w:space="0" w:color="auto"/>
                  </w:divBdr>
                  <w:divsChild>
                    <w:div w:id="358550727">
                      <w:marLeft w:val="0"/>
                      <w:marRight w:val="0"/>
                      <w:marTop w:val="0"/>
                      <w:marBottom w:val="0"/>
                      <w:divBdr>
                        <w:top w:val="none" w:sz="0" w:space="0" w:color="auto"/>
                        <w:left w:val="none" w:sz="0" w:space="0" w:color="auto"/>
                        <w:bottom w:val="none" w:sz="0" w:space="0" w:color="auto"/>
                        <w:right w:val="none" w:sz="0" w:space="0" w:color="auto"/>
                      </w:divBdr>
                      <w:divsChild>
                        <w:div w:id="2642685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51575051">
      <w:bodyDiv w:val="1"/>
      <w:marLeft w:val="0"/>
      <w:marRight w:val="0"/>
      <w:marTop w:val="0"/>
      <w:marBottom w:val="0"/>
      <w:divBdr>
        <w:top w:val="none" w:sz="0" w:space="0" w:color="auto"/>
        <w:left w:val="none" w:sz="0" w:space="0" w:color="auto"/>
        <w:bottom w:val="none" w:sz="0" w:space="0" w:color="auto"/>
        <w:right w:val="none" w:sz="0" w:space="0" w:color="auto"/>
      </w:divBdr>
      <w:divsChild>
        <w:div w:id="246769916">
          <w:marLeft w:val="1008"/>
          <w:marRight w:val="0"/>
          <w:marTop w:val="125"/>
          <w:marBottom w:val="0"/>
          <w:divBdr>
            <w:top w:val="none" w:sz="0" w:space="0" w:color="auto"/>
            <w:left w:val="none" w:sz="0" w:space="0" w:color="auto"/>
            <w:bottom w:val="none" w:sz="0" w:space="0" w:color="auto"/>
            <w:right w:val="none" w:sz="0" w:space="0" w:color="auto"/>
          </w:divBdr>
        </w:div>
      </w:divsChild>
    </w:div>
    <w:div w:id="663096315">
      <w:bodyDiv w:val="1"/>
      <w:marLeft w:val="0"/>
      <w:marRight w:val="0"/>
      <w:marTop w:val="0"/>
      <w:marBottom w:val="0"/>
      <w:divBdr>
        <w:top w:val="none" w:sz="0" w:space="0" w:color="auto"/>
        <w:left w:val="none" w:sz="0" w:space="0" w:color="auto"/>
        <w:bottom w:val="none" w:sz="0" w:space="0" w:color="auto"/>
        <w:right w:val="none" w:sz="0" w:space="0" w:color="auto"/>
      </w:divBdr>
      <w:divsChild>
        <w:div w:id="2073648578">
          <w:marLeft w:val="0"/>
          <w:marRight w:val="0"/>
          <w:marTop w:val="0"/>
          <w:marBottom w:val="0"/>
          <w:divBdr>
            <w:top w:val="none" w:sz="0" w:space="0" w:color="auto"/>
            <w:left w:val="none" w:sz="0" w:space="0" w:color="auto"/>
            <w:bottom w:val="none" w:sz="0" w:space="0" w:color="auto"/>
            <w:right w:val="none" w:sz="0" w:space="0" w:color="auto"/>
          </w:divBdr>
          <w:divsChild>
            <w:div w:id="2236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93657">
              <w:marLeft w:val="0"/>
              <w:marRight w:val="0"/>
              <w:marTop w:val="0"/>
              <w:marBottom w:val="0"/>
              <w:divBdr>
                <w:top w:val="none" w:sz="0" w:space="0" w:color="auto"/>
                <w:left w:val="none" w:sz="0" w:space="0" w:color="auto"/>
                <w:bottom w:val="none" w:sz="0" w:space="0" w:color="auto"/>
                <w:right w:val="none" w:sz="0" w:space="0" w:color="auto"/>
              </w:divBdr>
              <w:divsChild>
                <w:div w:id="53512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7833958">
      <w:bodyDiv w:val="1"/>
      <w:marLeft w:val="0"/>
      <w:marRight w:val="0"/>
      <w:marTop w:val="0"/>
      <w:marBottom w:val="0"/>
      <w:divBdr>
        <w:top w:val="none" w:sz="0" w:space="0" w:color="auto"/>
        <w:left w:val="none" w:sz="0" w:space="0" w:color="auto"/>
        <w:bottom w:val="none" w:sz="0" w:space="0" w:color="auto"/>
        <w:right w:val="none" w:sz="0" w:space="0" w:color="auto"/>
      </w:divBdr>
    </w:div>
    <w:div w:id="762143503">
      <w:bodyDiv w:val="1"/>
      <w:marLeft w:val="0"/>
      <w:marRight w:val="0"/>
      <w:marTop w:val="0"/>
      <w:marBottom w:val="0"/>
      <w:divBdr>
        <w:top w:val="none" w:sz="0" w:space="0" w:color="auto"/>
        <w:left w:val="none" w:sz="0" w:space="0" w:color="auto"/>
        <w:bottom w:val="none" w:sz="0" w:space="0" w:color="auto"/>
        <w:right w:val="none" w:sz="0" w:space="0" w:color="auto"/>
      </w:divBdr>
    </w:div>
    <w:div w:id="835415038">
      <w:bodyDiv w:val="1"/>
      <w:marLeft w:val="0"/>
      <w:marRight w:val="0"/>
      <w:marTop w:val="0"/>
      <w:marBottom w:val="0"/>
      <w:divBdr>
        <w:top w:val="none" w:sz="0" w:space="0" w:color="auto"/>
        <w:left w:val="none" w:sz="0" w:space="0" w:color="auto"/>
        <w:bottom w:val="none" w:sz="0" w:space="0" w:color="auto"/>
        <w:right w:val="none" w:sz="0" w:space="0" w:color="auto"/>
      </w:divBdr>
    </w:div>
    <w:div w:id="950430637">
      <w:bodyDiv w:val="1"/>
      <w:marLeft w:val="0"/>
      <w:marRight w:val="0"/>
      <w:marTop w:val="0"/>
      <w:marBottom w:val="0"/>
      <w:divBdr>
        <w:top w:val="none" w:sz="0" w:space="0" w:color="auto"/>
        <w:left w:val="none" w:sz="0" w:space="0" w:color="auto"/>
        <w:bottom w:val="none" w:sz="0" w:space="0" w:color="auto"/>
        <w:right w:val="none" w:sz="0" w:space="0" w:color="auto"/>
      </w:divBdr>
      <w:divsChild>
        <w:div w:id="802500279">
          <w:marLeft w:val="0"/>
          <w:marRight w:val="0"/>
          <w:marTop w:val="0"/>
          <w:marBottom w:val="0"/>
          <w:divBdr>
            <w:top w:val="none" w:sz="0" w:space="0" w:color="auto"/>
            <w:left w:val="none" w:sz="0" w:space="0" w:color="auto"/>
            <w:bottom w:val="none" w:sz="0" w:space="0" w:color="auto"/>
            <w:right w:val="none" w:sz="0" w:space="0" w:color="auto"/>
          </w:divBdr>
          <w:divsChild>
            <w:div w:id="484320580">
              <w:marLeft w:val="0"/>
              <w:marRight w:val="0"/>
              <w:marTop w:val="100"/>
              <w:marBottom w:val="100"/>
              <w:divBdr>
                <w:top w:val="none" w:sz="0" w:space="0" w:color="auto"/>
                <w:left w:val="none" w:sz="0" w:space="0" w:color="auto"/>
                <w:bottom w:val="none" w:sz="0" w:space="0" w:color="auto"/>
                <w:right w:val="none" w:sz="0" w:space="0" w:color="auto"/>
              </w:divBdr>
              <w:divsChild>
                <w:div w:id="658313001">
                  <w:marLeft w:val="0"/>
                  <w:marRight w:val="0"/>
                  <w:marTop w:val="45"/>
                  <w:marBottom w:val="120"/>
                  <w:divBdr>
                    <w:top w:val="none" w:sz="0" w:space="0" w:color="auto"/>
                    <w:left w:val="none" w:sz="0" w:space="0" w:color="auto"/>
                    <w:bottom w:val="none" w:sz="0" w:space="0" w:color="auto"/>
                    <w:right w:val="none" w:sz="0" w:space="0" w:color="auto"/>
                  </w:divBdr>
                  <w:divsChild>
                    <w:div w:id="418989192">
                      <w:marLeft w:val="0"/>
                      <w:marRight w:val="0"/>
                      <w:marTop w:val="0"/>
                      <w:marBottom w:val="0"/>
                      <w:divBdr>
                        <w:top w:val="none" w:sz="0" w:space="0" w:color="auto"/>
                        <w:left w:val="none" w:sz="0" w:space="0" w:color="auto"/>
                        <w:bottom w:val="none" w:sz="0" w:space="0" w:color="auto"/>
                        <w:right w:val="none" w:sz="0" w:space="0" w:color="auto"/>
                      </w:divBdr>
                      <w:divsChild>
                        <w:div w:id="1135989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71521314">
      <w:bodyDiv w:val="1"/>
      <w:marLeft w:val="0"/>
      <w:marRight w:val="0"/>
      <w:marTop w:val="0"/>
      <w:marBottom w:val="0"/>
      <w:divBdr>
        <w:top w:val="none" w:sz="0" w:space="0" w:color="auto"/>
        <w:left w:val="none" w:sz="0" w:space="0" w:color="auto"/>
        <w:bottom w:val="none" w:sz="0" w:space="0" w:color="auto"/>
        <w:right w:val="none" w:sz="0" w:space="0" w:color="auto"/>
      </w:divBdr>
    </w:div>
    <w:div w:id="1017001323">
      <w:bodyDiv w:val="1"/>
      <w:marLeft w:val="0"/>
      <w:marRight w:val="0"/>
      <w:marTop w:val="0"/>
      <w:marBottom w:val="0"/>
      <w:divBdr>
        <w:top w:val="none" w:sz="0" w:space="0" w:color="auto"/>
        <w:left w:val="none" w:sz="0" w:space="0" w:color="auto"/>
        <w:bottom w:val="none" w:sz="0" w:space="0" w:color="auto"/>
        <w:right w:val="none" w:sz="0" w:space="0" w:color="auto"/>
      </w:divBdr>
      <w:divsChild>
        <w:div w:id="977149946">
          <w:marLeft w:val="1008"/>
          <w:marRight w:val="0"/>
          <w:marTop w:val="125"/>
          <w:marBottom w:val="0"/>
          <w:divBdr>
            <w:top w:val="none" w:sz="0" w:space="0" w:color="auto"/>
            <w:left w:val="none" w:sz="0" w:space="0" w:color="auto"/>
            <w:bottom w:val="none" w:sz="0" w:space="0" w:color="auto"/>
            <w:right w:val="none" w:sz="0" w:space="0" w:color="auto"/>
          </w:divBdr>
        </w:div>
      </w:divsChild>
    </w:div>
    <w:div w:id="1026520370">
      <w:bodyDiv w:val="1"/>
      <w:marLeft w:val="0"/>
      <w:marRight w:val="0"/>
      <w:marTop w:val="0"/>
      <w:marBottom w:val="0"/>
      <w:divBdr>
        <w:top w:val="none" w:sz="0" w:space="0" w:color="auto"/>
        <w:left w:val="none" w:sz="0" w:space="0" w:color="auto"/>
        <w:bottom w:val="none" w:sz="0" w:space="0" w:color="auto"/>
        <w:right w:val="none" w:sz="0" w:space="0" w:color="auto"/>
      </w:divBdr>
      <w:divsChild>
        <w:div w:id="265503210">
          <w:marLeft w:val="0"/>
          <w:marRight w:val="0"/>
          <w:marTop w:val="0"/>
          <w:marBottom w:val="0"/>
          <w:divBdr>
            <w:top w:val="none" w:sz="0" w:space="0" w:color="auto"/>
            <w:left w:val="none" w:sz="0" w:space="0" w:color="auto"/>
            <w:bottom w:val="none" w:sz="0" w:space="0" w:color="auto"/>
            <w:right w:val="none" w:sz="0" w:space="0" w:color="auto"/>
          </w:divBdr>
          <w:divsChild>
            <w:div w:id="1705906711">
              <w:marLeft w:val="0"/>
              <w:marRight w:val="0"/>
              <w:marTop w:val="100"/>
              <w:marBottom w:val="100"/>
              <w:divBdr>
                <w:top w:val="none" w:sz="0" w:space="0" w:color="auto"/>
                <w:left w:val="none" w:sz="0" w:space="0" w:color="auto"/>
                <w:bottom w:val="none" w:sz="0" w:space="0" w:color="auto"/>
                <w:right w:val="none" w:sz="0" w:space="0" w:color="auto"/>
              </w:divBdr>
              <w:divsChild>
                <w:div w:id="171067600">
                  <w:marLeft w:val="0"/>
                  <w:marRight w:val="0"/>
                  <w:marTop w:val="45"/>
                  <w:marBottom w:val="120"/>
                  <w:divBdr>
                    <w:top w:val="none" w:sz="0" w:space="0" w:color="auto"/>
                    <w:left w:val="none" w:sz="0" w:space="0" w:color="auto"/>
                    <w:bottom w:val="none" w:sz="0" w:space="0" w:color="auto"/>
                    <w:right w:val="none" w:sz="0" w:space="0" w:color="auto"/>
                  </w:divBdr>
                  <w:divsChild>
                    <w:div w:id="176310057">
                      <w:marLeft w:val="0"/>
                      <w:marRight w:val="0"/>
                      <w:marTop w:val="0"/>
                      <w:marBottom w:val="0"/>
                      <w:divBdr>
                        <w:top w:val="none" w:sz="0" w:space="0" w:color="auto"/>
                        <w:left w:val="none" w:sz="0" w:space="0" w:color="auto"/>
                        <w:bottom w:val="none" w:sz="0" w:space="0" w:color="auto"/>
                        <w:right w:val="none" w:sz="0" w:space="0" w:color="auto"/>
                      </w:divBdr>
                      <w:divsChild>
                        <w:div w:id="49665510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49843040">
      <w:bodyDiv w:val="1"/>
      <w:marLeft w:val="0"/>
      <w:marRight w:val="0"/>
      <w:marTop w:val="0"/>
      <w:marBottom w:val="0"/>
      <w:divBdr>
        <w:top w:val="none" w:sz="0" w:space="0" w:color="auto"/>
        <w:left w:val="none" w:sz="0" w:space="0" w:color="auto"/>
        <w:bottom w:val="none" w:sz="0" w:space="0" w:color="auto"/>
        <w:right w:val="none" w:sz="0" w:space="0" w:color="auto"/>
      </w:divBdr>
    </w:div>
    <w:div w:id="1052269977">
      <w:bodyDiv w:val="1"/>
      <w:marLeft w:val="0"/>
      <w:marRight w:val="0"/>
      <w:marTop w:val="0"/>
      <w:marBottom w:val="0"/>
      <w:divBdr>
        <w:top w:val="none" w:sz="0" w:space="0" w:color="auto"/>
        <w:left w:val="none" w:sz="0" w:space="0" w:color="auto"/>
        <w:bottom w:val="none" w:sz="0" w:space="0" w:color="auto"/>
        <w:right w:val="none" w:sz="0" w:space="0" w:color="auto"/>
      </w:divBdr>
      <w:divsChild>
        <w:div w:id="1849101821">
          <w:marLeft w:val="1008"/>
          <w:marRight w:val="0"/>
          <w:marTop w:val="125"/>
          <w:marBottom w:val="0"/>
          <w:divBdr>
            <w:top w:val="none" w:sz="0" w:space="0" w:color="auto"/>
            <w:left w:val="none" w:sz="0" w:space="0" w:color="auto"/>
            <w:bottom w:val="none" w:sz="0" w:space="0" w:color="auto"/>
            <w:right w:val="none" w:sz="0" w:space="0" w:color="auto"/>
          </w:divBdr>
        </w:div>
      </w:divsChild>
    </w:div>
    <w:div w:id="1214123938">
      <w:bodyDiv w:val="1"/>
      <w:marLeft w:val="0"/>
      <w:marRight w:val="0"/>
      <w:marTop w:val="0"/>
      <w:marBottom w:val="0"/>
      <w:divBdr>
        <w:top w:val="none" w:sz="0" w:space="0" w:color="auto"/>
        <w:left w:val="none" w:sz="0" w:space="0" w:color="auto"/>
        <w:bottom w:val="none" w:sz="0" w:space="0" w:color="auto"/>
        <w:right w:val="none" w:sz="0" w:space="0" w:color="auto"/>
      </w:divBdr>
      <w:divsChild>
        <w:div w:id="1557743242">
          <w:marLeft w:val="0"/>
          <w:marRight w:val="0"/>
          <w:marTop w:val="0"/>
          <w:marBottom w:val="0"/>
          <w:divBdr>
            <w:top w:val="none" w:sz="0" w:space="0" w:color="auto"/>
            <w:left w:val="none" w:sz="0" w:space="0" w:color="auto"/>
            <w:bottom w:val="none" w:sz="0" w:space="0" w:color="auto"/>
            <w:right w:val="none" w:sz="0" w:space="0" w:color="auto"/>
          </w:divBdr>
          <w:divsChild>
            <w:div w:id="1813863533">
              <w:marLeft w:val="0"/>
              <w:marRight w:val="0"/>
              <w:marTop w:val="100"/>
              <w:marBottom w:val="100"/>
              <w:divBdr>
                <w:top w:val="none" w:sz="0" w:space="0" w:color="auto"/>
                <w:left w:val="none" w:sz="0" w:space="0" w:color="auto"/>
                <w:bottom w:val="none" w:sz="0" w:space="0" w:color="auto"/>
                <w:right w:val="none" w:sz="0" w:space="0" w:color="auto"/>
              </w:divBdr>
              <w:divsChild>
                <w:div w:id="735007506">
                  <w:marLeft w:val="0"/>
                  <w:marRight w:val="0"/>
                  <w:marTop w:val="45"/>
                  <w:marBottom w:val="120"/>
                  <w:divBdr>
                    <w:top w:val="none" w:sz="0" w:space="0" w:color="auto"/>
                    <w:left w:val="none" w:sz="0" w:space="0" w:color="auto"/>
                    <w:bottom w:val="none" w:sz="0" w:space="0" w:color="auto"/>
                    <w:right w:val="none" w:sz="0" w:space="0" w:color="auto"/>
                  </w:divBdr>
                  <w:divsChild>
                    <w:div w:id="441072555">
                      <w:marLeft w:val="0"/>
                      <w:marRight w:val="0"/>
                      <w:marTop w:val="0"/>
                      <w:marBottom w:val="0"/>
                      <w:divBdr>
                        <w:top w:val="none" w:sz="0" w:space="0" w:color="auto"/>
                        <w:left w:val="none" w:sz="0" w:space="0" w:color="auto"/>
                        <w:bottom w:val="none" w:sz="0" w:space="0" w:color="auto"/>
                        <w:right w:val="none" w:sz="0" w:space="0" w:color="auto"/>
                      </w:divBdr>
                      <w:divsChild>
                        <w:div w:id="2110736880">
                          <w:marLeft w:val="0"/>
                          <w:marRight w:val="0"/>
                          <w:marTop w:val="0"/>
                          <w:marBottom w:val="0"/>
                          <w:divBdr>
                            <w:top w:val="none" w:sz="0" w:space="0" w:color="auto"/>
                            <w:left w:val="none" w:sz="0" w:space="0" w:color="auto"/>
                            <w:bottom w:val="none" w:sz="0" w:space="0" w:color="auto"/>
                            <w:right w:val="none" w:sz="0" w:space="0" w:color="auto"/>
                          </w:divBdr>
                          <w:divsChild>
                            <w:div w:id="1587761771">
                              <w:marLeft w:val="0"/>
                              <w:marRight w:val="0"/>
                              <w:marTop w:val="0"/>
                              <w:marBottom w:val="120"/>
                              <w:divBdr>
                                <w:top w:val="single" w:sz="12" w:space="0" w:color="4EA3E9"/>
                                <w:left w:val="none" w:sz="0" w:space="0" w:color="auto"/>
                                <w:bottom w:val="single" w:sz="12" w:space="0" w:color="4EA3E9"/>
                                <w:right w:val="none" w:sz="0" w:space="0" w:color="auto"/>
                              </w:divBdr>
                              <w:divsChild>
                                <w:div w:id="9555243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35975">
      <w:bodyDiv w:val="1"/>
      <w:marLeft w:val="0"/>
      <w:marRight w:val="0"/>
      <w:marTop w:val="0"/>
      <w:marBottom w:val="0"/>
      <w:divBdr>
        <w:top w:val="none" w:sz="0" w:space="0" w:color="auto"/>
        <w:left w:val="none" w:sz="0" w:space="0" w:color="auto"/>
        <w:bottom w:val="none" w:sz="0" w:space="0" w:color="auto"/>
        <w:right w:val="none" w:sz="0" w:space="0" w:color="auto"/>
      </w:divBdr>
      <w:divsChild>
        <w:div w:id="329219681">
          <w:marLeft w:val="1008"/>
          <w:marRight w:val="0"/>
          <w:marTop w:val="125"/>
          <w:marBottom w:val="0"/>
          <w:divBdr>
            <w:top w:val="none" w:sz="0" w:space="0" w:color="auto"/>
            <w:left w:val="none" w:sz="0" w:space="0" w:color="auto"/>
            <w:bottom w:val="none" w:sz="0" w:space="0" w:color="auto"/>
            <w:right w:val="none" w:sz="0" w:space="0" w:color="auto"/>
          </w:divBdr>
        </w:div>
        <w:div w:id="1420760271">
          <w:marLeft w:val="1008"/>
          <w:marRight w:val="0"/>
          <w:marTop w:val="125"/>
          <w:marBottom w:val="0"/>
          <w:divBdr>
            <w:top w:val="none" w:sz="0" w:space="0" w:color="auto"/>
            <w:left w:val="none" w:sz="0" w:space="0" w:color="auto"/>
            <w:bottom w:val="none" w:sz="0" w:space="0" w:color="auto"/>
            <w:right w:val="none" w:sz="0" w:space="0" w:color="auto"/>
          </w:divBdr>
        </w:div>
      </w:divsChild>
    </w:div>
    <w:div w:id="1267421103">
      <w:bodyDiv w:val="1"/>
      <w:marLeft w:val="0"/>
      <w:marRight w:val="0"/>
      <w:marTop w:val="0"/>
      <w:marBottom w:val="0"/>
      <w:divBdr>
        <w:top w:val="none" w:sz="0" w:space="0" w:color="auto"/>
        <w:left w:val="none" w:sz="0" w:space="0" w:color="auto"/>
        <w:bottom w:val="none" w:sz="0" w:space="0" w:color="auto"/>
        <w:right w:val="none" w:sz="0" w:space="0" w:color="auto"/>
      </w:divBdr>
      <w:divsChild>
        <w:div w:id="368801415">
          <w:marLeft w:val="0"/>
          <w:marRight w:val="0"/>
          <w:marTop w:val="0"/>
          <w:marBottom w:val="0"/>
          <w:divBdr>
            <w:top w:val="none" w:sz="0" w:space="0" w:color="auto"/>
            <w:left w:val="none" w:sz="0" w:space="0" w:color="auto"/>
            <w:bottom w:val="none" w:sz="0" w:space="0" w:color="auto"/>
            <w:right w:val="none" w:sz="0" w:space="0" w:color="auto"/>
          </w:divBdr>
          <w:divsChild>
            <w:div w:id="780730782">
              <w:marLeft w:val="0"/>
              <w:marRight w:val="0"/>
              <w:marTop w:val="100"/>
              <w:marBottom w:val="100"/>
              <w:divBdr>
                <w:top w:val="none" w:sz="0" w:space="0" w:color="auto"/>
                <w:left w:val="none" w:sz="0" w:space="0" w:color="auto"/>
                <w:bottom w:val="none" w:sz="0" w:space="0" w:color="auto"/>
                <w:right w:val="none" w:sz="0" w:space="0" w:color="auto"/>
              </w:divBdr>
              <w:divsChild>
                <w:div w:id="92476155">
                  <w:marLeft w:val="0"/>
                  <w:marRight w:val="0"/>
                  <w:marTop w:val="45"/>
                  <w:marBottom w:val="120"/>
                  <w:divBdr>
                    <w:top w:val="none" w:sz="0" w:space="0" w:color="auto"/>
                    <w:left w:val="none" w:sz="0" w:space="0" w:color="auto"/>
                    <w:bottom w:val="none" w:sz="0" w:space="0" w:color="auto"/>
                    <w:right w:val="none" w:sz="0" w:space="0" w:color="auto"/>
                  </w:divBdr>
                  <w:divsChild>
                    <w:div w:id="1832287181">
                      <w:marLeft w:val="0"/>
                      <w:marRight w:val="0"/>
                      <w:marTop w:val="0"/>
                      <w:marBottom w:val="0"/>
                      <w:divBdr>
                        <w:top w:val="none" w:sz="0" w:space="0" w:color="auto"/>
                        <w:left w:val="none" w:sz="0" w:space="0" w:color="auto"/>
                        <w:bottom w:val="none" w:sz="0" w:space="0" w:color="auto"/>
                        <w:right w:val="none" w:sz="0" w:space="0" w:color="auto"/>
                      </w:divBdr>
                      <w:divsChild>
                        <w:div w:id="9243385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52550109">
      <w:bodyDiv w:val="1"/>
      <w:marLeft w:val="0"/>
      <w:marRight w:val="0"/>
      <w:marTop w:val="0"/>
      <w:marBottom w:val="0"/>
      <w:divBdr>
        <w:top w:val="none" w:sz="0" w:space="0" w:color="auto"/>
        <w:left w:val="none" w:sz="0" w:space="0" w:color="auto"/>
        <w:bottom w:val="none" w:sz="0" w:space="0" w:color="auto"/>
        <w:right w:val="none" w:sz="0" w:space="0" w:color="auto"/>
      </w:divBdr>
      <w:divsChild>
        <w:div w:id="1187909982">
          <w:marLeft w:val="0"/>
          <w:marRight w:val="0"/>
          <w:marTop w:val="0"/>
          <w:marBottom w:val="0"/>
          <w:divBdr>
            <w:top w:val="none" w:sz="0" w:space="0" w:color="auto"/>
            <w:left w:val="none" w:sz="0" w:space="0" w:color="auto"/>
            <w:bottom w:val="none" w:sz="0" w:space="0" w:color="auto"/>
            <w:right w:val="none" w:sz="0" w:space="0" w:color="auto"/>
          </w:divBdr>
          <w:divsChild>
            <w:div w:id="161437917">
              <w:marLeft w:val="0"/>
              <w:marRight w:val="0"/>
              <w:marTop w:val="100"/>
              <w:marBottom w:val="100"/>
              <w:divBdr>
                <w:top w:val="none" w:sz="0" w:space="0" w:color="auto"/>
                <w:left w:val="none" w:sz="0" w:space="0" w:color="auto"/>
                <w:bottom w:val="none" w:sz="0" w:space="0" w:color="auto"/>
                <w:right w:val="none" w:sz="0" w:space="0" w:color="auto"/>
              </w:divBdr>
              <w:divsChild>
                <w:div w:id="1444613438">
                  <w:marLeft w:val="0"/>
                  <w:marRight w:val="0"/>
                  <w:marTop w:val="45"/>
                  <w:marBottom w:val="120"/>
                  <w:divBdr>
                    <w:top w:val="none" w:sz="0" w:space="0" w:color="auto"/>
                    <w:left w:val="none" w:sz="0" w:space="0" w:color="auto"/>
                    <w:bottom w:val="none" w:sz="0" w:space="0" w:color="auto"/>
                    <w:right w:val="none" w:sz="0" w:space="0" w:color="auto"/>
                  </w:divBdr>
                  <w:divsChild>
                    <w:div w:id="1952742137">
                      <w:marLeft w:val="0"/>
                      <w:marRight w:val="0"/>
                      <w:marTop w:val="0"/>
                      <w:marBottom w:val="0"/>
                      <w:divBdr>
                        <w:top w:val="none" w:sz="0" w:space="0" w:color="auto"/>
                        <w:left w:val="none" w:sz="0" w:space="0" w:color="auto"/>
                        <w:bottom w:val="none" w:sz="0" w:space="0" w:color="auto"/>
                        <w:right w:val="none" w:sz="0" w:space="0" w:color="auto"/>
                      </w:divBdr>
                      <w:divsChild>
                        <w:div w:id="23910454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76225691">
      <w:bodyDiv w:val="1"/>
      <w:marLeft w:val="0"/>
      <w:marRight w:val="0"/>
      <w:marTop w:val="0"/>
      <w:marBottom w:val="0"/>
      <w:divBdr>
        <w:top w:val="none" w:sz="0" w:space="0" w:color="auto"/>
        <w:left w:val="none" w:sz="0" w:space="0" w:color="auto"/>
        <w:bottom w:val="none" w:sz="0" w:space="0" w:color="auto"/>
        <w:right w:val="none" w:sz="0" w:space="0" w:color="auto"/>
      </w:divBdr>
    </w:div>
    <w:div w:id="1707556187">
      <w:bodyDiv w:val="1"/>
      <w:marLeft w:val="0"/>
      <w:marRight w:val="0"/>
      <w:marTop w:val="0"/>
      <w:marBottom w:val="0"/>
      <w:divBdr>
        <w:top w:val="none" w:sz="0" w:space="0" w:color="auto"/>
        <w:left w:val="none" w:sz="0" w:space="0" w:color="auto"/>
        <w:bottom w:val="none" w:sz="0" w:space="0" w:color="auto"/>
        <w:right w:val="none" w:sz="0" w:space="0" w:color="auto"/>
      </w:divBdr>
      <w:divsChild>
        <w:div w:id="628097610">
          <w:marLeft w:val="0"/>
          <w:marRight w:val="0"/>
          <w:marTop w:val="0"/>
          <w:marBottom w:val="0"/>
          <w:divBdr>
            <w:top w:val="none" w:sz="0" w:space="0" w:color="auto"/>
            <w:left w:val="none" w:sz="0" w:space="0" w:color="auto"/>
            <w:bottom w:val="none" w:sz="0" w:space="0" w:color="auto"/>
            <w:right w:val="none" w:sz="0" w:space="0" w:color="auto"/>
          </w:divBdr>
          <w:divsChild>
            <w:div w:id="261914153">
              <w:marLeft w:val="0"/>
              <w:marRight w:val="0"/>
              <w:marTop w:val="100"/>
              <w:marBottom w:val="100"/>
              <w:divBdr>
                <w:top w:val="none" w:sz="0" w:space="0" w:color="auto"/>
                <w:left w:val="none" w:sz="0" w:space="0" w:color="auto"/>
                <w:bottom w:val="none" w:sz="0" w:space="0" w:color="auto"/>
                <w:right w:val="none" w:sz="0" w:space="0" w:color="auto"/>
              </w:divBdr>
              <w:divsChild>
                <w:div w:id="239679729">
                  <w:marLeft w:val="0"/>
                  <w:marRight w:val="0"/>
                  <w:marTop w:val="45"/>
                  <w:marBottom w:val="120"/>
                  <w:divBdr>
                    <w:top w:val="none" w:sz="0" w:space="0" w:color="auto"/>
                    <w:left w:val="none" w:sz="0" w:space="0" w:color="auto"/>
                    <w:bottom w:val="none" w:sz="0" w:space="0" w:color="auto"/>
                    <w:right w:val="none" w:sz="0" w:space="0" w:color="auto"/>
                  </w:divBdr>
                  <w:divsChild>
                    <w:div w:id="893346513">
                      <w:marLeft w:val="0"/>
                      <w:marRight w:val="0"/>
                      <w:marTop w:val="0"/>
                      <w:marBottom w:val="0"/>
                      <w:divBdr>
                        <w:top w:val="none" w:sz="0" w:space="0" w:color="auto"/>
                        <w:left w:val="none" w:sz="0" w:space="0" w:color="auto"/>
                        <w:bottom w:val="none" w:sz="0" w:space="0" w:color="auto"/>
                        <w:right w:val="none" w:sz="0" w:space="0" w:color="auto"/>
                      </w:divBdr>
                      <w:divsChild>
                        <w:div w:id="20951236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9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94897868">
          <w:marLeft w:val="0"/>
          <w:marRight w:val="0"/>
          <w:marTop w:val="0"/>
          <w:marBottom w:val="0"/>
          <w:divBdr>
            <w:top w:val="none" w:sz="0" w:space="0" w:color="auto"/>
            <w:left w:val="none" w:sz="0" w:space="0" w:color="auto"/>
            <w:bottom w:val="none" w:sz="0" w:space="0" w:color="auto"/>
            <w:right w:val="none" w:sz="0" w:space="0" w:color="auto"/>
          </w:divBdr>
          <w:divsChild>
            <w:div w:id="1746878971">
              <w:marLeft w:val="0"/>
              <w:marRight w:val="0"/>
              <w:marTop w:val="100"/>
              <w:marBottom w:val="100"/>
              <w:divBdr>
                <w:top w:val="none" w:sz="0" w:space="0" w:color="auto"/>
                <w:left w:val="none" w:sz="0" w:space="0" w:color="auto"/>
                <w:bottom w:val="none" w:sz="0" w:space="0" w:color="auto"/>
                <w:right w:val="none" w:sz="0" w:space="0" w:color="auto"/>
              </w:divBdr>
              <w:divsChild>
                <w:div w:id="1703048416">
                  <w:marLeft w:val="0"/>
                  <w:marRight w:val="0"/>
                  <w:marTop w:val="45"/>
                  <w:marBottom w:val="120"/>
                  <w:divBdr>
                    <w:top w:val="none" w:sz="0" w:space="0" w:color="auto"/>
                    <w:left w:val="none" w:sz="0" w:space="0" w:color="auto"/>
                    <w:bottom w:val="none" w:sz="0" w:space="0" w:color="auto"/>
                    <w:right w:val="none" w:sz="0" w:space="0" w:color="auto"/>
                  </w:divBdr>
                  <w:divsChild>
                    <w:div w:id="1243368232">
                      <w:marLeft w:val="0"/>
                      <w:marRight w:val="0"/>
                      <w:marTop w:val="0"/>
                      <w:marBottom w:val="0"/>
                      <w:divBdr>
                        <w:top w:val="none" w:sz="0" w:space="0" w:color="auto"/>
                        <w:left w:val="none" w:sz="0" w:space="0" w:color="auto"/>
                        <w:bottom w:val="none" w:sz="0" w:space="0" w:color="auto"/>
                        <w:right w:val="none" w:sz="0" w:space="0" w:color="auto"/>
                      </w:divBdr>
                      <w:divsChild>
                        <w:div w:id="1134252413">
                          <w:marLeft w:val="0"/>
                          <w:marRight w:val="0"/>
                          <w:marTop w:val="0"/>
                          <w:marBottom w:val="0"/>
                          <w:divBdr>
                            <w:top w:val="none" w:sz="0" w:space="0" w:color="auto"/>
                            <w:left w:val="none" w:sz="0" w:space="0" w:color="auto"/>
                            <w:bottom w:val="none" w:sz="0" w:space="0" w:color="auto"/>
                            <w:right w:val="none" w:sz="0" w:space="0" w:color="auto"/>
                          </w:divBdr>
                          <w:divsChild>
                            <w:div w:id="967394858">
                              <w:marLeft w:val="0"/>
                              <w:marRight w:val="0"/>
                              <w:marTop w:val="0"/>
                              <w:marBottom w:val="120"/>
                              <w:divBdr>
                                <w:top w:val="single" w:sz="12" w:space="0" w:color="4EA3E9"/>
                                <w:left w:val="none" w:sz="0" w:space="0" w:color="auto"/>
                                <w:bottom w:val="single" w:sz="12" w:space="0" w:color="4EA3E9"/>
                                <w:right w:val="none" w:sz="0" w:space="0" w:color="auto"/>
                              </w:divBdr>
                              <w:divsChild>
                                <w:div w:id="46577632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工作表1!$B$1</c:f>
              <c:strCache>
                <c:ptCount val="1"/>
                <c:pt idx="0">
                  <c:v>留養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工作表1!$A$2:$A$4</c:f>
              <c:strCache>
                <c:ptCount val="3"/>
                <c:pt idx="0">
                  <c:v>103年</c:v>
                </c:pt>
                <c:pt idx="1">
                  <c:v>104年</c:v>
                </c:pt>
                <c:pt idx="2">
                  <c:v>105年</c:v>
                </c:pt>
              </c:strCache>
            </c:strRef>
          </c:cat>
          <c:val>
            <c:numRef>
              <c:f>工作表1!$B$2:$B$4</c:f>
              <c:numCache>
                <c:formatCode>General</c:formatCode>
                <c:ptCount val="3"/>
                <c:pt idx="0">
                  <c:v>218</c:v>
                </c:pt>
                <c:pt idx="1">
                  <c:v>351</c:v>
                </c:pt>
                <c:pt idx="2">
                  <c:v>598</c:v>
                </c:pt>
              </c:numCache>
            </c:numRef>
          </c:val>
        </c:ser>
        <c:ser>
          <c:idx val="1"/>
          <c:order val="1"/>
          <c:tx>
            <c:strRef>
              <c:f>工作表1!$C$1</c:f>
              <c:strCache>
                <c:ptCount val="1"/>
                <c:pt idx="0">
                  <c:v>出養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工作表1!$A$2:$A$4</c:f>
              <c:strCache>
                <c:ptCount val="3"/>
                <c:pt idx="0">
                  <c:v>103年</c:v>
                </c:pt>
                <c:pt idx="1">
                  <c:v>104年</c:v>
                </c:pt>
                <c:pt idx="2">
                  <c:v>105年</c:v>
                </c:pt>
              </c:strCache>
            </c:strRef>
          </c:cat>
          <c:val>
            <c:numRef>
              <c:f>工作表1!$C$2:$C$4</c:f>
              <c:numCache>
                <c:formatCode>General</c:formatCode>
                <c:ptCount val="3"/>
                <c:pt idx="0">
                  <c:v>35</c:v>
                </c:pt>
                <c:pt idx="1">
                  <c:v>48</c:v>
                </c:pt>
                <c:pt idx="2">
                  <c:v>71</c:v>
                </c:pt>
              </c:numCache>
            </c:numRef>
          </c:val>
        </c:ser>
        <c:ser>
          <c:idx val="2"/>
          <c:order val="2"/>
          <c:tx>
            <c:strRef>
              <c:f>工作表1!$D$1</c:f>
              <c:strCache>
                <c:ptCount val="1"/>
                <c:pt idx="0">
                  <c:v>中止懷孕</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工作表1!$A$2:$A$4</c:f>
              <c:strCache>
                <c:ptCount val="3"/>
                <c:pt idx="0">
                  <c:v>103年</c:v>
                </c:pt>
                <c:pt idx="1">
                  <c:v>104年</c:v>
                </c:pt>
                <c:pt idx="2">
                  <c:v>105年</c:v>
                </c:pt>
              </c:strCache>
            </c:strRef>
          </c:cat>
          <c:val>
            <c:numRef>
              <c:f>工作表1!$D$2:$D$4</c:f>
              <c:numCache>
                <c:formatCode>General</c:formatCode>
                <c:ptCount val="3"/>
                <c:pt idx="0">
                  <c:v>113</c:v>
                </c:pt>
                <c:pt idx="1">
                  <c:v>128</c:v>
                </c:pt>
                <c:pt idx="2">
                  <c:v>113</c:v>
                </c:pt>
              </c:numCache>
            </c:numRef>
          </c:val>
        </c:ser>
        <c:ser>
          <c:idx val="3"/>
          <c:order val="3"/>
          <c:tx>
            <c:strRef>
              <c:f>工作表1!$E$1</c:f>
              <c:strCache>
                <c:ptCount val="1"/>
                <c:pt idx="0">
                  <c:v>其他(含寄養、機構安置等)</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工作表1!$A$2:$A$4</c:f>
              <c:strCache>
                <c:ptCount val="3"/>
                <c:pt idx="0">
                  <c:v>103年</c:v>
                </c:pt>
                <c:pt idx="1">
                  <c:v>104年</c:v>
                </c:pt>
                <c:pt idx="2">
                  <c:v>105年</c:v>
                </c:pt>
              </c:strCache>
            </c:strRef>
          </c:cat>
          <c:val>
            <c:numRef>
              <c:f>工作表1!$E$2:$E$4</c:f>
              <c:numCache>
                <c:formatCode>General</c:formatCode>
                <c:ptCount val="3"/>
                <c:pt idx="0">
                  <c:v>58</c:v>
                </c:pt>
                <c:pt idx="1">
                  <c:v>167</c:v>
                </c:pt>
                <c:pt idx="2">
                  <c:v>74</c:v>
                </c:pt>
              </c:numCache>
            </c:numRef>
          </c:val>
        </c:ser>
        <c:dLbls>
          <c:showLegendKey val="0"/>
          <c:showVal val="1"/>
          <c:showCatName val="0"/>
          <c:showSerName val="0"/>
          <c:showPercent val="0"/>
          <c:showBubbleSize val="0"/>
        </c:dLbls>
        <c:gapWidth val="75"/>
        <c:axId val="502484872"/>
        <c:axId val="502486440"/>
      </c:barChart>
      <c:catAx>
        <c:axId val="502484872"/>
        <c:scaling>
          <c:orientation val="minMax"/>
        </c:scaling>
        <c:delete val="0"/>
        <c:axPos val="b"/>
        <c:numFmt formatCode="General" sourceLinked="0"/>
        <c:majorTickMark val="none"/>
        <c:minorTickMark val="none"/>
        <c:tickLblPos val="nextTo"/>
        <c:crossAx val="502486440"/>
        <c:crosses val="autoZero"/>
        <c:auto val="1"/>
        <c:lblAlgn val="ctr"/>
        <c:lblOffset val="100"/>
        <c:noMultiLvlLbl val="0"/>
      </c:catAx>
      <c:valAx>
        <c:axId val="502486440"/>
        <c:scaling>
          <c:orientation val="minMax"/>
        </c:scaling>
        <c:delete val="0"/>
        <c:axPos val="l"/>
        <c:numFmt formatCode="General" sourceLinked="1"/>
        <c:majorTickMark val="none"/>
        <c:minorTickMark val="none"/>
        <c:tickLblPos val="nextTo"/>
        <c:crossAx val="502484872"/>
        <c:crosses val="autoZero"/>
        <c:crossBetween val="between"/>
      </c:valAx>
    </c:plotArea>
    <c:legend>
      <c:legendPos val="b"/>
      <c:overlay val="0"/>
      <c:txPr>
        <a:bodyPr/>
        <a:lstStyle/>
        <a:p>
          <a:pPr>
            <a:defRPr sz="1400">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830E-BE2E-4007-90EE-B079E64F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20</Pages>
  <Words>1416</Words>
  <Characters>8075</Characters>
  <Application>Microsoft Office Word</Application>
  <DocSecurity>0</DocSecurity>
  <Lines>67</Lines>
  <Paragraphs>18</Paragraphs>
  <ScaleCrop>false</ScaleCrop>
  <Company>cy</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羅玉珊</dc:creator>
  <cp:lastModifiedBy>曾莉雯</cp:lastModifiedBy>
  <cp:revision>3</cp:revision>
  <cp:lastPrinted>2017-11-09T05:38:00Z</cp:lastPrinted>
  <dcterms:created xsi:type="dcterms:W3CDTF">2017-11-09T09:48:00Z</dcterms:created>
  <dcterms:modified xsi:type="dcterms:W3CDTF">2017-11-09T09:49:00Z</dcterms:modified>
</cp:coreProperties>
</file>